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F3" w:rsidRPr="00BF29F2" w:rsidRDefault="002605F3" w:rsidP="002605F3">
      <w:pPr>
        <w:rPr>
          <w:rFonts w:ascii="黑体" w:eastAsia="黑体" w:hAnsi="黑体"/>
          <w:sz w:val="32"/>
          <w:szCs w:val="32"/>
        </w:rPr>
      </w:pPr>
      <w:r w:rsidRPr="00BF29F2">
        <w:rPr>
          <w:rFonts w:ascii="黑体" w:eastAsia="黑体" w:hAnsi="黑体" w:hint="eastAsia"/>
          <w:sz w:val="32"/>
          <w:szCs w:val="32"/>
        </w:rPr>
        <w:t>附件1</w:t>
      </w:r>
    </w:p>
    <w:p w:rsidR="002605F3" w:rsidRDefault="002605F3" w:rsidP="002605F3">
      <w:pPr>
        <w:widowControl/>
        <w:spacing w:line="360" w:lineRule="auto"/>
        <w:jc w:val="center"/>
        <w:outlineLvl w:val="3"/>
        <w:rPr>
          <w:rFonts w:ascii="宋体" w:hAnsi="宋体"/>
          <w:b/>
          <w:sz w:val="44"/>
          <w:szCs w:val="36"/>
        </w:rPr>
      </w:pPr>
      <w:r>
        <w:rPr>
          <w:rFonts w:ascii="宋体" w:hAnsi="宋体" w:hint="eastAsia"/>
          <w:b/>
          <w:sz w:val="44"/>
          <w:szCs w:val="36"/>
        </w:rPr>
        <w:t>郑州商品交易所期货交易风险控制</w:t>
      </w:r>
    </w:p>
    <w:p w:rsidR="002605F3" w:rsidRDefault="002605F3" w:rsidP="002605F3">
      <w:pPr>
        <w:widowControl/>
        <w:spacing w:line="360" w:lineRule="auto"/>
        <w:jc w:val="center"/>
        <w:outlineLvl w:val="3"/>
        <w:rPr>
          <w:rFonts w:ascii="宋体" w:hAnsi="宋体"/>
          <w:b/>
          <w:sz w:val="44"/>
          <w:szCs w:val="36"/>
        </w:rPr>
      </w:pPr>
      <w:r>
        <w:rPr>
          <w:rFonts w:ascii="宋体" w:hAnsi="宋体" w:hint="eastAsia"/>
          <w:b/>
          <w:sz w:val="44"/>
          <w:szCs w:val="36"/>
        </w:rPr>
        <w:t>管理办法</w:t>
      </w:r>
      <w:bookmarkStart w:id="0" w:name="_GoBack"/>
      <w:bookmarkEnd w:id="0"/>
    </w:p>
    <w:p w:rsidR="002605F3" w:rsidRPr="00BF29F2" w:rsidRDefault="002605F3" w:rsidP="002605F3">
      <w:pPr>
        <w:spacing w:before="240" w:after="240"/>
        <w:jc w:val="left"/>
        <w:rPr>
          <w:rFonts w:ascii="宋体" w:hAnsi="宋体"/>
          <w:b/>
          <w:sz w:val="44"/>
          <w:szCs w:val="36"/>
        </w:rPr>
      </w:pPr>
      <w:r>
        <w:rPr>
          <w:rFonts w:ascii="楷体" w:eastAsia="楷体" w:hAnsi="楷体" w:hint="eastAsia"/>
          <w:sz w:val="28"/>
          <w:szCs w:val="28"/>
        </w:rPr>
        <w:t>（2021年11月2日郑州商品交易所第七届理事会第十八次会议审议通过，自2021年</w:t>
      </w:r>
      <w:r w:rsidRPr="00552324">
        <w:rPr>
          <w:rFonts w:ascii="楷体" w:eastAsia="楷体" w:hAnsi="楷体"/>
          <w:sz w:val="28"/>
          <w:szCs w:val="28"/>
        </w:rPr>
        <w:t>11月25</w:t>
      </w:r>
      <w:r w:rsidRPr="00552324">
        <w:rPr>
          <w:rFonts w:ascii="楷体" w:eastAsia="楷体" w:hAnsi="楷体" w:hint="eastAsia"/>
          <w:sz w:val="28"/>
          <w:szCs w:val="28"/>
        </w:rPr>
        <w:t>日</w:t>
      </w:r>
      <w:r>
        <w:rPr>
          <w:rFonts w:ascii="楷体" w:eastAsia="楷体" w:hAnsi="楷体" w:hint="eastAsia"/>
          <w:sz w:val="28"/>
          <w:szCs w:val="28"/>
        </w:rPr>
        <w:t>起施行）</w:t>
      </w:r>
    </w:p>
    <w:p w:rsidR="002605F3" w:rsidRDefault="002605F3" w:rsidP="002605F3">
      <w:pPr>
        <w:pStyle w:val="a4"/>
        <w:widowControl/>
        <w:numPr>
          <w:ilvl w:val="0"/>
          <w:numId w:val="1"/>
        </w:numPr>
        <w:spacing w:after="240" w:line="360" w:lineRule="auto"/>
        <w:ind w:firstLineChars="0"/>
        <w:jc w:val="center"/>
        <w:outlineLvl w:val="1"/>
        <w:rPr>
          <w:rFonts w:ascii="宋体" w:eastAsia="黑体" w:hAnsi="宋体" w:cs="宋体"/>
          <w:sz w:val="32"/>
          <w:szCs w:val="28"/>
        </w:rPr>
      </w:pPr>
      <w:r>
        <w:rPr>
          <w:rFonts w:ascii="宋体" w:eastAsia="黑体" w:hAnsi="宋体" w:cs="宋体" w:hint="eastAsia"/>
          <w:sz w:val="32"/>
          <w:szCs w:val="28"/>
        </w:rPr>
        <w:t>总则</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第一条</w:t>
      </w:r>
      <w:r>
        <w:rPr>
          <w:rFonts w:ascii="宋体" w:eastAsia="黑体" w:hAnsi="宋体" w:cs="宋体" w:hint="eastAsia"/>
          <w:kern w:val="0"/>
          <w:sz w:val="28"/>
          <w:szCs w:val="28"/>
        </w:rPr>
        <w:t xml:space="preserve"> </w:t>
      </w:r>
      <w:r>
        <w:rPr>
          <w:rFonts w:ascii="宋体" w:hAnsi="宋体" w:cs="宋体" w:hint="eastAsia"/>
          <w:kern w:val="0"/>
          <w:sz w:val="28"/>
          <w:szCs w:val="28"/>
        </w:rPr>
        <w:t>为加强期货交易风险管理，维护期货交易当事人的合法权益，保证郑州商品交易所（以下简称交易所）期货交易的正常进行，根据《郑州商品交易所交易规则》，制定本办法。</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第二条</w:t>
      </w:r>
      <w:r>
        <w:rPr>
          <w:rFonts w:ascii="宋体" w:eastAsia="黑体" w:hAnsi="宋体" w:cs="宋体" w:hint="eastAsia"/>
          <w:kern w:val="0"/>
          <w:sz w:val="28"/>
          <w:szCs w:val="28"/>
        </w:rPr>
        <w:t xml:space="preserve"> </w:t>
      </w:r>
      <w:r>
        <w:rPr>
          <w:rFonts w:ascii="宋体" w:hAnsi="宋体" w:cs="宋体" w:hint="eastAsia"/>
          <w:kern w:val="0"/>
          <w:sz w:val="28"/>
          <w:szCs w:val="28"/>
        </w:rPr>
        <w:t>期货交易风险管理实行保证金制度、涨跌停板制度、限仓制度、交易限额制度、大户报告制度、强行平仓制度、风险警示制度。</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第三条</w:t>
      </w:r>
      <w:r>
        <w:rPr>
          <w:rFonts w:ascii="宋体" w:eastAsia="黑体" w:hAnsi="宋体" w:cs="宋体" w:hint="eastAsia"/>
          <w:kern w:val="0"/>
          <w:sz w:val="28"/>
          <w:szCs w:val="28"/>
        </w:rPr>
        <w:t xml:space="preserve"> </w:t>
      </w:r>
      <w:r>
        <w:rPr>
          <w:rFonts w:ascii="宋体" w:hAnsi="宋体" w:cs="宋体" w:hint="eastAsia"/>
          <w:kern w:val="0"/>
          <w:sz w:val="28"/>
          <w:szCs w:val="28"/>
        </w:rPr>
        <w:t>交易所、会员、境外经纪机构和客户应当遵守本办法。境外经纪机构应当辅助其委托交易结算的期货公司会员做好境外客户的强行平仓、大户报告、风险提示等工作。期货公司会员应当将涉及境外经纪机构客户的《强行平仓通知书》、强行平仓结果、风险提示函等及时通知境外经纪机构。</w:t>
      </w:r>
    </w:p>
    <w:p w:rsidR="002605F3" w:rsidRDefault="002605F3" w:rsidP="002605F3">
      <w:pPr>
        <w:pStyle w:val="a4"/>
        <w:widowControl/>
        <w:numPr>
          <w:ilvl w:val="0"/>
          <w:numId w:val="1"/>
        </w:numPr>
        <w:spacing w:line="360" w:lineRule="auto"/>
        <w:ind w:firstLineChars="0"/>
        <w:jc w:val="center"/>
        <w:outlineLvl w:val="1"/>
        <w:rPr>
          <w:rFonts w:ascii="宋体" w:eastAsia="黑体" w:hAnsi="宋体" w:cs="宋体"/>
          <w:sz w:val="32"/>
          <w:szCs w:val="28"/>
        </w:rPr>
      </w:pPr>
      <w:bookmarkStart w:id="1" w:name="_Toc392878608"/>
      <w:r>
        <w:rPr>
          <w:rFonts w:ascii="宋体" w:eastAsia="黑体" w:hAnsi="宋体" w:cs="宋体" w:hint="eastAsia"/>
          <w:sz w:val="32"/>
          <w:szCs w:val="28"/>
        </w:rPr>
        <w:t>保证金制度</w:t>
      </w:r>
      <w:bookmarkEnd w:id="1"/>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第四条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期货交易实行保证金制度。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各品种</w:t>
      </w:r>
      <w:r>
        <w:rPr>
          <w:rStyle w:val="a5"/>
          <w:rFonts w:ascii="宋体" w:hAnsi="宋体" w:cs="宋体"/>
          <w:kern w:val="0"/>
          <w:sz w:val="28"/>
          <w:szCs w:val="28"/>
        </w:rPr>
        <w:footnoteReference w:id="2"/>
      </w:r>
      <w:r>
        <w:rPr>
          <w:rFonts w:ascii="宋体" w:hAnsi="宋体" w:cs="宋体" w:hint="eastAsia"/>
          <w:kern w:val="0"/>
          <w:sz w:val="28"/>
          <w:szCs w:val="28"/>
        </w:rPr>
        <w:t>期货合约的最低交易保证金标准见下表：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7"/>
        <w:gridCol w:w="2885"/>
      </w:tblGrid>
      <w:tr w:rsidR="002605F3" w:rsidTr="00807509">
        <w:trPr>
          <w:trHeight w:val="70"/>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bCs/>
                <w:kern w:val="0"/>
                <w:sz w:val="24"/>
              </w:rPr>
            </w:pPr>
            <w:r>
              <w:rPr>
                <w:rFonts w:ascii="宋体" w:hAnsi="宋体" w:cs="宋体" w:hint="eastAsia"/>
                <w:bCs/>
                <w:kern w:val="0"/>
                <w:sz w:val="24"/>
              </w:rPr>
              <w:t>品种</w:t>
            </w:r>
          </w:p>
        </w:tc>
        <w:tc>
          <w:tcPr>
            <w:tcW w:w="2885"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kern w:val="0"/>
                <w:sz w:val="28"/>
                <w:szCs w:val="28"/>
              </w:rPr>
            </w:pPr>
            <w:r>
              <w:rPr>
                <w:rFonts w:ascii="宋体" w:hAnsi="宋体" w:cs="宋体" w:hint="eastAsia"/>
                <w:bCs/>
                <w:kern w:val="0"/>
                <w:sz w:val="24"/>
              </w:rPr>
              <w:t>最低交易保证金标准</w:t>
            </w:r>
          </w:p>
        </w:tc>
      </w:tr>
      <w:tr w:rsidR="002605F3" w:rsidTr="00807509">
        <w:tc>
          <w:tcPr>
            <w:tcW w:w="5637"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kern w:val="0"/>
                <w:sz w:val="16"/>
                <w:szCs w:val="16"/>
              </w:rPr>
            </w:pPr>
            <w:r>
              <w:rPr>
                <w:rFonts w:ascii="宋体" w:hAnsi="宋体" w:cs="宋体" w:hint="eastAsia"/>
                <w:kern w:val="0"/>
                <w:sz w:val="24"/>
              </w:rPr>
              <w:t>普麦、强麦、棉花、菜油、菜籽、菜粕、动力煤、早</w:t>
            </w:r>
            <w:r>
              <w:rPr>
                <w:rFonts w:ascii="宋体" w:hAnsi="宋体" w:cs="宋体" w:hint="eastAsia"/>
                <w:kern w:val="0"/>
                <w:sz w:val="24"/>
              </w:rPr>
              <w:lastRenderedPageBreak/>
              <w:t>籼稻、晚籼稻</w:t>
            </w:r>
            <w:r>
              <w:rPr>
                <w:rFonts w:ascii="宋体" w:hAnsi="宋体" w:hint="eastAsia"/>
                <w:bCs/>
                <w:sz w:val="24"/>
              </w:rPr>
              <w:t>、粳稻、甲醇</w:t>
            </w:r>
            <w:r>
              <w:rPr>
                <w:rFonts w:ascii="宋体" w:hAnsi="宋体" w:hint="eastAsia"/>
                <w:sz w:val="24"/>
              </w:rPr>
              <w:t>、硅铁、锰硅、</w:t>
            </w:r>
            <w:r>
              <w:rPr>
                <w:rFonts w:ascii="宋体" w:hAnsi="宋体" w:cs="宋体" w:hint="eastAsia"/>
                <w:kern w:val="0"/>
                <w:sz w:val="24"/>
              </w:rPr>
              <w:t>白糖、PTA、玻璃、棉纱、尿素、纯碱、短纤、花生</w:t>
            </w:r>
          </w:p>
        </w:tc>
        <w:tc>
          <w:tcPr>
            <w:tcW w:w="2885"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kern w:val="0"/>
                <w:sz w:val="28"/>
                <w:szCs w:val="28"/>
              </w:rPr>
            </w:pPr>
            <w:r>
              <w:rPr>
                <w:rFonts w:ascii="宋体" w:hAnsi="宋体" w:cs="宋体" w:hint="eastAsia"/>
                <w:kern w:val="0"/>
                <w:sz w:val="24"/>
              </w:rPr>
              <w:lastRenderedPageBreak/>
              <w:t>5%</w:t>
            </w:r>
          </w:p>
        </w:tc>
      </w:tr>
      <w:tr w:rsidR="002605F3" w:rsidTr="00807509">
        <w:trPr>
          <w:trHeight w:val="26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hAnsi="宋体" w:cs="宋体"/>
                <w:kern w:val="0"/>
                <w:sz w:val="24"/>
              </w:rPr>
            </w:pPr>
            <w:r>
              <w:rPr>
                <w:rFonts w:ascii="宋体" w:hAnsi="宋体" w:cs="宋体" w:hint="eastAsia"/>
                <w:kern w:val="0"/>
                <w:sz w:val="24"/>
              </w:rPr>
              <w:lastRenderedPageBreak/>
              <w:t>苹果、红枣</w:t>
            </w:r>
          </w:p>
        </w:tc>
        <w:tc>
          <w:tcPr>
            <w:tcW w:w="2885" w:type="dxa"/>
            <w:tcBorders>
              <w:top w:val="single" w:sz="4" w:space="0" w:color="000000"/>
              <w:left w:val="single" w:sz="4" w:space="0" w:color="000000"/>
              <w:bottom w:val="single" w:sz="4" w:space="0" w:color="000000"/>
              <w:right w:val="single" w:sz="4" w:space="0" w:color="000000"/>
            </w:tcBorders>
            <w:vAlign w:val="center"/>
            <w:hideMark/>
          </w:tcPr>
          <w:p w:rsidR="002605F3" w:rsidRDefault="002605F3" w:rsidP="00807509">
            <w:pPr>
              <w:snapToGrid w:val="0"/>
              <w:jc w:val="center"/>
              <w:rPr>
                <w:rFonts w:ascii="宋体" w:hAnsi="宋体" w:cs="宋体"/>
                <w:kern w:val="0"/>
                <w:sz w:val="24"/>
              </w:rPr>
            </w:pPr>
            <w:r>
              <w:rPr>
                <w:rFonts w:ascii="宋体" w:hAnsi="宋体" w:cs="宋体" w:hint="eastAsia"/>
                <w:kern w:val="0"/>
                <w:sz w:val="24"/>
              </w:rPr>
              <w:t>7%</w:t>
            </w:r>
          </w:p>
        </w:tc>
      </w:tr>
    </w:tbl>
    <w:p w:rsidR="002605F3" w:rsidRDefault="002605F3" w:rsidP="002605F3">
      <w:pPr>
        <w:snapToGrid w:val="0"/>
        <w:spacing w:before="240"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第五条</w:t>
      </w:r>
      <w:r>
        <w:rPr>
          <w:rFonts w:ascii="宋体" w:eastAsia="黑体" w:hAnsi="宋体" w:cs="宋体" w:hint="eastAsia"/>
          <w:kern w:val="0"/>
          <w:sz w:val="28"/>
          <w:szCs w:val="28"/>
        </w:rPr>
        <w:t xml:space="preserve"> </w:t>
      </w:r>
      <w:r>
        <w:rPr>
          <w:rFonts w:ascii="宋体" w:hAnsi="宋体" w:cs="宋体" w:hint="eastAsia"/>
          <w:kern w:val="0"/>
          <w:sz w:val="28"/>
          <w:szCs w:val="28"/>
        </w:rPr>
        <w:t>期货合约的交易保证金标准按照该期货合约上市交易的时间分期间依次管理，除苹果、红枣外，各期间交易保证金标准见下表：</w:t>
      </w:r>
    </w:p>
    <w:tbl>
      <w:tblPr>
        <w:tblW w:w="8506" w:type="dxa"/>
        <w:tblInd w:w="-34" w:type="dxa"/>
        <w:tblLook w:val="04A0"/>
      </w:tblPr>
      <w:tblGrid>
        <w:gridCol w:w="5326"/>
        <w:gridCol w:w="3180"/>
      </w:tblGrid>
      <w:tr w:rsidR="002605F3" w:rsidTr="00807509">
        <w:trPr>
          <w:trHeight w:val="312"/>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交易时间段</w:t>
            </w:r>
          </w:p>
        </w:tc>
        <w:tc>
          <w:tcPr>
            <w:tcW w:w="3180" w:type="dxa"/>
            <w:tcBorders>
              <w:top w:val="single" w:sz="4" w:space="0" w:color="auto"/>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交易保证金标准</w:t>
            </w:r>
          </w:p>
        </w:tc>
      </w:tr>
      <w:tr w:rsidR="002605F3" w:rsidTr="00807509">
        <w:trPr>
          <w:trHeight w:val="624"/>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自挂牌至交割月前一个月第15个日历日期间的交易日</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5%</w:t>
            </w:r>
          </w:p>
        </w:tc>
      </w:tr>
      <w:tr w:rsidR="002605F3" w:rsidTr="00807509">
        <w:trPr>
          <w:trHeight w:val="624"/>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交割月前一个月第16个日历日至交割月前一个月最后一个日历日期间的交易日</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10%</w:t>
            </w:r>
          </w:p>
        </w:tc>
      </w:tr>
      <w:tr w:rsidR="002605F3" w:rsidTr="00807509">
        <w:trPr>
          <w:trHeight w:val="312"/>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交割月份</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20%</w:t>
            </w:r>
          </w:p>
        </w:tc>
      </w:tr>
    </w:tbl>
    <w:p w:rsidR="002605F3" w:rsidRDefault="002605F3" w:rsidP="002605F3">
      <w:pPr>
        <w:snapToGrid w:val="0"/>
        <w:spacing w:before="240" w:line="360" w:lineRule="auto"/>
        <w:ind w:firstLineChars="200" w:firstLine="560"/>
        <w:rPr>
          <w:rFonts w:ascii="宋体" w:hAnsi="宋体" w:cs="宋体"/>
          <w:kern w:val="0"/>
          <w:sz w:val="28"/>
          <w:szCs w:val="28"/>
        </w:rPr>
      </w:pPr>
      <w:r>
        <w:rPr>
          <w:rFonts w:ascii="宋体" w:hAnsi="宋体" w:cs="宋体" w:hint="eastAsia"/>
          <w:kern w:val="0"/>
          <w:sz w:val="28"/>
          <w:szCs w:val="28"/>
        </w:rPr>
        <w:t>苹果期货合约各期间交易保证金标准见下表：</w:t>
      </w:r>
    </w:p>
    <w:tbl>
      <w:tblPr>
        <w:tblW w:w="8506" w:type="dxa"/>
        <w:tblInd w:w="-34" w:type="dxa"/>
        <w:tblLook w:val="04A0"/>
      </w:tblPr>
      <w:tblGrid>
        <w:gridCol w:w="5326"/>
        <w:gridCol w:w="3180"/>
      </w:tblGrid>
      <w:tr w:rsidR="002605F3" w:rsidTr="00807509">
        <w:trPr>
          <w:trHeight w:val="312"/>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交易时间段</w:t>
            </w:r>
          </w:p>
        </w:tc>
        <w:tc>
          <w:tcPr>
            <w:tcW w:w="3180" w:type="dxa"/>
            <w:tcBorders>
              <w:top w:val="single" w:sz="4" w:space="0" w:color="auto"/>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交易保证金标准</w:t>
            </w:r>
          </w:p>
        </w:tc>
      </w:tr>
      <w:tr w:rsidR="002605F3" w:rsidTr="00807509">
        <w:trPr>
          <w:trHeight w:val="624"/>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自挂牌至交割月前一个月第15个日历日期间的交易日</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7%</w:t>
            </w:r>
          </w:p>
        </w:tc>
      </w:tr>
      <w:tr w:rsidR="002605F3" w:rsidTr="00807509">
        <w:trPr>
          <w:trHeight w:val="624"/>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交割月前一个月第16个日历日至交割月前一个月最后一个日历日期间的交易日</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10%</w:t>
            </w:r>
          </w:p>
        </w:tc>
      </w:tr>
      <w:tr w:rsidR="002605F3" w:rsidTr="00807509">
        <w:trPr>
          <w:trHeight w:val="312"/>
        </w:trPr>
        <w:tc>
          <w:tcPr>
            <w:tcW w:w="5326" w:type="dxa"/>
            <w:tcBorders>
              <w:top w:val="nil"/>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交割月份</w:t>
            </w:r>
          </w:p>
        </w:tc>
        <w:tc>
          <w:tcPr>
            <w:tcW w:w="3180" w:type="dxa"/>
            <w:tcBorders>
              <w:top w:val="nil"/>
              <w:left w:val="nil"/>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20%</w:t>
            </w:r>
          </w:p>
        </w:tc>
      </w:tr>
    </w:tbl>
    <w:p w:rsidR="002605F3" w:rsidRDefault="002605F3" w:rsidP="002605F3">
      <w:pPr>
        <w:snapToGrid w:val="0"/>
        <w:spacing w:before="240" w:line="360" w:lineRule="auto"/>
        <w:ind w:firstLineChars="200" w:firstLine="560"/>
        <w:rPr>
          <w:rFonts w:ascii="宋体" w:hAnsi="宋体" w:cs="宋体"/>
          <w:kern w:val="0"/>
          <w:sz w:val="28"/>
          <w:szCs w:val="28"/>
        </w:rPr>
      </w:pPr>
      <w:r>
        <w:rPr>
          <w:rFonts w:ascii="宋体" w:hAnsi="宋体" w:cs="宋体" w:hint="eastAsia"/>
          <w:kern w:val="0"/>
          <w:sz w:val="28"/>
          <w:szCs w:val="28"/>
        </w:rPr>
        <w:t>红枣期货合约各期间交易保证金标准见下表：</w:t>
      </w:r>
    </w:p>
    <w:tbl>
      <w:tblPr>
        <w:tblW w:w="850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6"/>
        <w:gridCol w:w="3180"/>
      </w:tblGrid>
      <w:tr w:rsidR="002605F3" w:rsidTr="00807509">
        <w:trPr>
          <w:trHeight w:val="312"/>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交易时间段</w:t>
            </w:r>
          </w:p>
        </w:tc>
        <w:tc>
          <w:tcPr>
            <w:tcW w:w="3180"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交易保证金标准</w:t>
            </w:r>
          </w:p>
        </w:tc>
      </w:tr>
      <w:tr w:rsidR="002605F3" w:rsidTr="00807509">
        <w:trPr>
          <w:trHeight w:val="169"/>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自挂牌至交割月前二个月最后一个日历日期间的交易日</w:t>
            </w:r>
          </w:p>
        </w:tc>
        <w:tc>
          <w:tcPr>
            <w:tcW w:w="3180"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7%</w:t>
            </w:r>
          </w:p>
        </w:tc>
      </w:tr>
      <w:tr w:rsidR="002605F3" w:rsidTr="00807509">
        <w:trPr>
          <w:trHeight w:val="130"/>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交割月前一个月第一个日历日至交割月前一个月第15个日历日期间的交易日</w:t>
            </w:r>
          </w:p>
        </w:tc>
        <w:tc>
          <w:tcPr>
            <w:tcW w:w="3180"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10%</w:t>
            </w:r>
          </w:p>
        </w:tc>
      </w:tr>
      <w:tr w:rsidR="002605F3" w:rsidTr="00807509">
        <w:trPr>
          <w:trHeight w:val="624"/>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交割月前一个月第16个日历日至交割月前一个月最后一个日历日期间的交易日</w:t>
            </w:r>
          </w:p>
        </w:tc>
        <w:tc>
          <w:tcPr>
            <w:tcW w:w="3180"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15%</w:t>
            </w:r>
          </w:p>
        </w:tc>
      </w:tr>
      <w:tr w:rsidR="002605F3" w:rsidTr="00807509">
        <w:trPr>
          <w:trHeight w:val="130"/>
        </w:trPr>
        <w:tc>
          <w:tcPr>
            <w:tcW w:w="5326"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交割月份</w:t>
            </w:r>
          </w:p>
        </w:tc>
        <w:tc>
          <w:tcPr>
            <w:tcW w:w="3180" w:type="dxa"/>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宋体"/>
                <w:kern w:val="0"/>
                <w:sz w:val="24"/>
              </w:rPr>
            </w:pPr>
            <w:r>
              <w:rPr>
                <w:rFonts w:ascii="宋体" w:hAnsi="宋体" w:cs="宋体" w:hint="eastAsia"/>
                <w:kern w:val="0"/>
                <w:sz w:val="24"/>
              </w:rPr>
              <w:t>20%</w:t>
            </w:r>
          </w:p>
        </w:tc>
      </w:tr>
    </w:tbl>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第六条</w:t>
      </w:r>
      <w:r>
        <w:rPr>
          <w:rFonts w:ascii="宋体" w:eastAsia="黑体" w:hAnsi="宋体" w:cs="宋体" w:hint="eastAsia"/>
          <w:kern w:val="0"/>
          <w:sz w:val="28"/>
          <w:szCs w:val="28"/>
        </w:rPr>
        <w:t xml:space="preserve"> </w:t>
      </w:r>
      <w:r>
        <w:rPr>
          <w:rFonts w:ascii="宋体" w:hAnsi="宋体" w:cs="宋体" w:hint="eastAsia"/>
          <w:kern w:val="0"/>
          <w:sz w:val="28"/>
          <w:szCs w:val="28"/>
        </w:rPr>
        <w:t>交易过程中，当日开仓按照该期货合约前一交易日结算价收取相应标准的交易保证金。当日结算时，该期货合约的所有持仓按照当日结算价收取相应标准的交易保证金。</w:t>
      </w:r>
    </w:p>
    <w:p w:rsidR="002605F3" w:rsidRDefault="002605F3" w:rsidP="002605F3">
      <w:pPr>
        <w:tabs>
          <w:tab w:val="left" w:pos="1260"/>
          <w:tab w:val="left" w:pos="1620"/>
          <w:tab w:val="left" w:pos="2100"/>
          <w:tab w:val="left" w:pos="5040"/>
        </w:tabs>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第七条</w:t>
      </w:r>
      <w:r>
        <w:rPr>
          <w:rFonts w:ascii="宋体" w:eastAsia="黑体" w:hAnsi="宋体" w:cs="宋体" w:hint="eastAsia"/>
          <w:kern w:val="0"/>
          <w:sz w:val="28"/>
          <w:szCs w:val="28"/>
        </w:rPr>
        <w:t xml:space="preserve"> </w:t>
      </w:r>
      <w:r>
        <w:rPr>
          <w:rFonts w:ascii="宋体" w:hAnsi="宋体" w:cs="宋体" w:hint="eastAsia"/>
          <w:kern w:val="0"/>
          <w:sz w:val="28"/>
          <w:szCs w:val="28"/>
        </w:rPr>
        <w:t>某期货合约所处期间符合调整交易保证金要求的，自该期间首日的前一交易日闭市起，该期货合约的所有持仓按照新的交易保证金标准收取相应的交易保证金。</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第八条</w:t>
      </w:r>
      <w:r>
        <w:rPr>
          <w:rFonts w:ascii="宋体" w:eastAsia="黑体" w:hAnsi="宋体" w:cs="宋体" w:hint="eastAsia"/>
          <w:kern w:val="0"/>
          <w:sz w:val="28"/>
          <w:szCs w:val="28"/>
        </w:rPr>
        <w:t xml:space="preserve"> </w:t>
      </w:r>
      <w:r>
        <w:rPr>
          <w:rFonts w:ascii="宋体" w:hAnsi="宋体" w:cs="宋体" w:hint="eastAsia"/>
          <w:kern w:val="0"/>
          <w:sz w:val="28"/>
          <w:szCs w:val="28"/>
        </w:rPr>
        <w:t>某期货合约按结算价计算的价格变化，连续四个交易日（即D1、D2、D3、D4交易日）累计涨(跌)幅（N）达到期货合约规定涨(跌)幅的3倍或者连续五个交易日（即D1、D2、D3、D4、D5交易日）累计涨(跌)幅（N）达到期货合约规定涨(跌)幅的3.5倍的，交易所有权提高交易保证金标准；提高交易保证金标准的幅度不高于期货合约当时适用的交易保证金标准的3倍。</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N的计算公式如下：</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N＝(P</w:t>
      </w:r>
      <w:r>
        <w:rPr>
          <w:rFonts w:ascii="宋体" w:hAnsi="宋体" w:cs="宋体" w:hint="eastAsia"/>
          <w:kern w:val="0"/>
          <w:sz w:val="28"/>
          <w:szCs w:val="28"/>
          <w:vertAlign w:val="subscript"/>
        </w:rPr>
        <w:t>t</w:t>
      </w:r>
      <w:r>
        <w:rPr>
          <w:rFonts w:ascii="宋体" w:hAnsi="宋体" w:cs="宋体" w:hint="eastAsia"/>
          <w:kern w:val="0"/>
          <w:sz w:val="28"/>
          <w:szCs w:val="28"/>
        </w:rPr>
        <w:t>—P</w:t>
      </w:r>
      <w:r>
        <w:rPr>
          <w:rFonts w:ascii="宋体" w:hAnsi="宋体" w:cs="宋体" w:hint="eastAsia"/>
          <w:kern w:val="0"/>
          <w:sz w:val="28"/>
          <w:szCs w:val="28"/>
          <w:vertAlign w:val="subscript"/>
        </w:rPr>
        <w:t>0</w:t>
      </w:r>
      <w:r>
        <w:rPr>
          <w:rFonts w:ascii="宋体" w:hAnsi="宋体" w:cs="宋体" w:hint="eastAsia"/>
          <w:kern w:val="0"/>
          <w:sz w:val="28"/>
          <w:szCs w:val="28"/>
        </w:rPr>
        <w:t>)/P</w:t>
      </w:r>
      <w:r>
        <w:rPr>
          <w:rFonts w:ascii="宋体" w:hAnsi="宋体" w:cs="宋体" w:hint="eastAsia"/>
          <w:kern w:val="0"/>
          <w:sz w:val="28"/>
          <w:szCs w:val="28"/>
          <w:vertAlign w:val="subscript"/>
        </w:rPr>
        <w:t>0</w:t>
      </w:r>
      <w:r>
        <w:rPr>
          <w:rFonts w:ascii="宋体" w:hAnsi="宋体" w:cs="宋体" w:hint="eastAsia"/>
          <w:kern w:val="0"/>
          <w:sz w:val="28"/>
          <w:szCs w:val="28"/>
        </w:rPr>
        <w:t>×100%   t=4，5</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P</w:t>
      </w:r>
      <w:r>
        <w:rPr>
          <w:rFonts w:ascii="宋体" w:hAnsi="宋体" w:cs="宋体" w:hint="eastAsia"/>
          <w:kern w:val="0"/>
          <w:sz w:val="28"/>
          <w:szCs w:val="28"/>
          <w:vertAlign w:val="subscript"/>
        </w:rPr>
        <w:t>0</w:t>
      </w:r>
      <w:r>
        <w:rPr>
          <w:rFonts w:ascii="宋体" w:hAnsi="宋体" w:cs="宋体" w:hint="eastAsia"/>
          <w:kern w:val="0"/>
          <w:sz w:val="28"/>
          <w:szCs w:val="28"/>
        </w:rPr>
        <w:t>为D1交易日前一交易日结算价</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P</w:t>
      </w:r>
      <w:r>
        <w:rPr>
          <w:rFonts w:ascii="宋体" w:hAnsi="宋体" w:cs="宋体" w:hint="eastAsia"/>
          <w:kern w:val="0"/>
          <w:sz w:val="28"/>
          <w:szCs w:val="28"/>
          <w:vertAlign w:val="subscript"/>
        </w:rPr>
        <w:t>t</w:t>
      </w:r>
      <w:r>
        <w:rPr>
          <w:rFonts w:ascii="宋体" w:hAnsi="宋体" w:cs="宋体" w:hint="eastAsia"/>
          <w:kern w:val="0"/>
          <w:sz w:val="28"/>
          <w:szCs w:val="28"/>
        </w:rPr>
        <w:t>为t交易日结算价，t=4，5</w:t>
      </w:r>
    </w:p>
    <w:p w:rsidR="002605F3" w:rsidRDefault="002605F3" w:rsidP="002605F3">
      <w:pPr>
        <w:snapToGrid w:val="0"/>
        <w:spacing w:line="360" w:lineRule="auto"/>
        <w:ind w:firstLineChars="198" w:firstLine="554"/>
        <w:rPr>
          <w:rFonts w:ascii="宋体" w:hAnsi="宋体" w:cs="宋体"/>
          <w:kern w:val="0"/>
          <w:sz w:val="28"/>
          <w:szCs w:val="28"/>
        </w:rPr>
      </w:pPr>
      <w:r>
        <w:rPr>
          <w:rFonts w:ascii="宋体" w:eastAsia="黑体" w:hAnsi="宋体" w:cs="宋体" w:hint="eastAsia"/>
          <w:kern w:val="0"/>
          <w:sz w:val="28"/>
          <w:szCs w:val="28"/>
        </w:rPr>
        <w:t>第九条</w:t>
      </w:r>
      <w:r>
        <w:rPr>
          <w:rFonts w:ascii="宋体" w:eastAsia="黑体" w:hAnsi="宋体" w:cs="宋体" w:hint="eastAsia"/>
          <w:kern w:val="0"/>
          <w:sz w:val="28"/>
          <w:szCs w:val="28"/>
        </w:rPr>
        <w:t xml:space="preserve"> </w:t>
      </w:r>
      <w:r>
        <w:rPr>
          <w:rFonts w:ascii="宋体" w:hAnsi="宋体" w:cs="宋体" w:hint="eastAsia"/>
          <w:kern w:val="0"/>
          <w:sz w:val="28"/>
          <w:szCs w:val="28"/>
        </w:rPr>
        <w:t>遇法定节假日休市时间较长的，交易所可以在休市前调整期货合约交易保证金标准和涨跌停板幅度。</w:t>
      </w:r>
    </w:p>
    <w:p w:rsidR="002605F3" w:rsidRDefault="002605F3" w:rsidP="002605F3">
      <w:pPr>
        <w:snapToGrid w:val="0"/>
        <w:spacing w:line="360" w:lineRule="auto"/>
        <w:ind w:firstLineChars="198" w:firstLine="554"/>
        <w:rPr>
          <w:rFonts w:ascii="宋体" w:hAnsi="宋体" w:cs="宋体"/>
          <w:kern w:val="0"/>
          <w:sz w:val="28"/>
          <w:szCs w:val="28"/>
        </w:rPr>
      </w:pPr>
      <w:r>
        <w:rPr>
          <w:rFonts w:ascii="宋体" w:eastAsia="黑体" w:hAnsi="宋体" w:cs="宋体" w:hint="eastAsia"/>
          <w:kern w:val="0"/>
          <w:sz w:val="28"/>
          <w:szCs w:val="28"/>
        </w:rPr>
        <w:t>第十条</w:t>
      </w:r>
      <w:r>
        <w:rPr>
          <w:rFonts w:ascii="宋体" w:eastAsia="黑体" w:hAnsi="宋体" w:cs="宋体" w:hint="eastAsia"/>
          <w:kern w:val="0"/>
          <w:sz w:val="28"/>
          <w:szCs w:val="28"/>
        </w:rPr>
        <w:t xml:space="preserve"> </w:t>
      </w:r>
      <w:r>
        <w:rPr>
          <w:rFonts w:ascii="宋体" w:hAnsi="宋体" w:cs="宋体" w:hint="eastAsia"/>
          <w:kern w:val="0"/>
          <w:sz w:val="28"/>
          <w:szCs w:val="28"/>
        </w:rPr>
        <w:t>某期货合约市场风险明显增大时，交易所可根据某期货合约市场风险情况采取下列措施：</w:t>
      </w:r>
    </w:p>
    <w:p w:rsidR="002605F3" w:rsidRDefault="002605F3" w:rsidP="002605F3">
      <w:pPr>
        <w:widowControl/>
        <w:spacing w:line="360" w:lineRule="auto"/>
        <w:ind w:firstLineChars="200" w:firstLine="560"/>
        <w:contextualSpacing/>
        <w:outlineLvl w:val="3"/>
        <w:rPr>
          <w:rFonts w:ascii="宋体" w:hAnsi="宋体" w:cs="宋体"/>
          <w:kern w:val="0"/>
          <w:sz w:val="28"/>
          <w:szCs w:val="28"/>
        </w:rPr>
      </w:pPr>
      <w:r>
        <w:rPr>
          <w:rFonts w:ascii="宋体" w:hAnsi="宋体" w:cs="宋体" w:hint="eastAsia"/>
          <w:kern w:val="0"/>
          <w:sz w:val="28"/>
          <w:szCs w:val="28"/>
        </w:rPr>
        <w:t>（一）对全部或者部分会员、境外经纪机构、客户限制出入金；</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（二）对全部或者部分非期货公司会员、客户限制开平仓；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（三）调整该期货合约交易保证金标准；</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（四）调整该期货合约涨跌停板幅度。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当某期货合约市场行情趋于平缓时，交易所可以将上述措施恢复到正常水平。</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交易所调整交易保证金标准或者涨跌停板幅度的，应予公告，并报中国证监会备案。</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第十一条</w:t>
      </w:r>
      <w:r>
        <w:rPr>
          <w:rFonts w:ascii="宋体" w:eastAsia="黑体" w:hAnsi="宋体" w:cs="宋体" w:hint="eastAsia"/>
          <w:kern w:val="0"/>
          <w:sz w:val="28"/>
          <w:szCs w:val="28"/>
        </w:rPr>
        <w:t xml:space="preserve"> </w:t>
      </w:r>
      <w:r>
        <w:rPr>
          <w:rFonts w:ascii="宋体" w:hAnsi="宋体" w:cs="宋体" w:hint="eastAsia"/>
          <w:kern w:val="0"/>
          <w:sz w:val="28"/>
          <w:szCs w:val="28"/>
        </w:rPr>
        <w:t>同时适用本办法规定的两种或者两种以上有关调整交</w:t>
      </w:r>
      <w:r>
        <w:rPr>
          <w:rFonts w:ascii="宋体" w:hAnsi="宋体" w:cs="宋体" w:hint="eastAsia"/>
          <w:kern w:val="0"/>
          <w:sz w:val="28"/>
          <w:szCs w:val="28"/>
        </w:rPr>
        <w:lastRenderedPageBreak/>
        <w:t>易保证金标准的期货合约，其交易保证金标准按照最高值收取。</w:t>
      </w:r>
    </w:p>
    <w:p w:rsidR="002605F3" w:rsidRDefault="002605F3" w:rsidP="002605F3">
      <w:pPr>
        <w:pStyle w:val="a4"/>
        <w:widowControl/>
        <w:numPr>
          <w:ilvl w:val="0"/>
          <w:numId w:val="1"/>
        </w:numPr>
        <w:spacing w:line="360" w:lineRule="auto"/>
        <w:ind w:firstLineChars="0"/>
        <w:jc w:val="center"/>
        <w:outlineLvl w:val="1"/>
        <w:rPr>
          <w:rFonts w:ascii="宋体" w:eastAsia="黑体" w:hAnsi="宋体" w:cs="宋体"/>
          <w:sz w:val="32"/>
          <w:szCs w:val="28"/>
        </w:rPr>
      </w:pPr>
      <w:bookmarkStart w:id="2" w:name="_Toc392878609"/>
      <w:r>
        <w:rPr>
          <w:rFonts w:ascii="宋体" w:eastAsia="黑体" w:hAnsi="宋体" w:cs="宋体" w:hint="eastAsia"/>
          <w:sz w:val="32"/>
          <w:szCs w:val="28"/>
        </w:rPr>
        <w:t>涨跌停板制度</w:t>
      </w:r>
      <w:bookmarkEnd w:id="2"/>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第十二条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期货交易实行价格涨跌停板制度，由交易所规定各上市期货合约的每日最大价格波动幅度。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对同时满足本办法有关调整涨跌停板幅度规定的合约，其涨跌停板幅度按照规定涨跌停板幅度数值中的较大值确定。</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第十三条</w:t>
      </w:r>
      <w:r>
        <w:rPr>
          <w:rFonts w:ascii="宋体" w:eastAsia="黑体" w:hAnsi="宋体" w:cs="宋体" w:hint="eastAsia"/>
          <w:kern w:val="0"/>
          <w:sz w:val="28"/>
          <w:szCs w:val="28"/>
        </w:rPr>
        <w:t xml:space="preserve"> </w:t>
      </w:r>
      <w:r>
        <w:rPr>
          <w:rFonts w:ascii="宋体" w:hAnsi="宋体" w:cs="宋体" w:hint="eastAsia"/>
          <w:kern w:val="0"/>
          <w:sz w:val="28"/>
          <w:szCs w:val="28"/>
        </w:rPr>
        <w:t>苹果、红枣期货合约每日涨跌停板幅度为前一交易日结算价的±5%。</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除苹果、红枣外，其他品种期货合约每日涨跌停板幅度为前一交易日结算价的±4%。</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第十四条</w:t>
      </w:r>
      <w:r>
        <w:rPr>
          <w:rFonts w:ascii="宋体" w:eastAsia="黑体" w:hAnsi="宋体" w:cs="宋体" w:hint="eastAsia"/>
          <w:kern w:val="0"/>
          <w:sz w:val="28"/>
          <w:szCs w:val="28"/>
        </w:rPr>
        <w:t xml:space="preserve"> </w:t>
      </w:r>
      <w:r>
        <w:rPr>
          <w:rFonts w:ascii="宋体" w:hAnsi="宋体" w:cs="宋体" w:hint="eastAsia"/>
          <w:kern w:val="0"/>
          <w:sz w:val="28"/>
          <w:szCs w:val="28"/>
        </w:rPr>
        <w:t>新期货合约上市当日至成交首日，涨跌停板幅度为期货合约实际执行的涨跌停板幅度的2倍。</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新期货合约成交首日的下一交易日，涨跌停板幅度恢复为期货合约实际执行的涨跌停板幅度。</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第十五条</w:t>
      </w:r>
      <w:r>
        <w:rPr>
          <w:rFonts w:ascii="宋体" w:eastAsia="黑体" w:hAnsi="宋体" w:cs="宋体" w:hint="eastAsia"/>
          <w:kern w:val="0"/>
          <w:sz w:val="28"/>
          <w:szCs w:val="28"/>
        </w:rPr>
        <w:t xml:space="preserve"> </w:t>
      </w:r>
      <w:r>
        <w:rPr>
          <w:rFonts w:ascii="宋体" w:hAnsi="宋体" w:cs="宋体" w:hint="eastAsia"/>
          <w:kern w:val="0"/>
          <w:sz w:val="28"/>
          <w:szCs w:val="28"/>
        </w:rPr>
        <w:t>某期货合约以涨跌停板价格成交的，成交撮合原则为平仓优先和时间优先。</w:t>
      </w:r>
    </w:p>
    <w:p w:rsidR="002605F3" w:rsidRDefault="002605F3" w:rsidP="002605F3">
      <w:pPr>
        <w:tabs>
          <w:tab w:val="left" w:pos="1854"/>
          <w:tab w:val="left" w:pos="2100"/>
        </w:tabs>
        <w:snapToGrid w:val="0"/>
        <w:spacing w:line="360" w:lineRule="auto"/>
        <w:ind w:firstLineChars="200" w:firstLine="560"/>
        <w:rPr>
          <w:rFonts w:ascii="宋体" w:hAnsi="宋体" w:cs="宋体"/>
          <w:kern w:val="0"/>
          <w:sz w:val="28"/>
          <w:szCs w:val="28"/>
        </w:rPr>
      </w:pPr>
      <w:r>
        <w:rPr>
          <w:rFonts w:ascii="黑体" w:eastAsia="黑体" w:hAnsi="宋体" w:cs="黑体" w:hint="eastAsia"/>
          <w:sz w:val="28"/>
          <w:szCs w:val="28"/>
        </w:rPr>
        <w:t xml:space="preserve">第十六条 </w:t>
      </w:r>
      <w:r>
        <w:rPr>
          <w:rFonts w:ascii="宋体" w:hAnsi="宋体" w:cs="宋体" w:hint="eastAsia"/>
          <w:kern w:val="0"/>
          <w:sz w:val="28"/>
          <w:szCs w:val="28"/>
        </w:rPr>
        <w:t>某期货合约在某一交易日收盘前5分钟内出现只有停板价位的买入(卖出)申报、没有停板价位的卖出(买入)申报，或者一有卖出(买入)申报就成交、但未打开停板价位的情况，称为涨（跌）停板单方无报价（以下简称单边市）。</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第十七条</w:t>
      </w:r>
      <w:r>
        <w:rPr>
          <w:rFonts w:ascii="宋体" w:eastAsia="黑体" w:hAnsi="宋体" w:cs="宋体" w:hint="eastAsia"/>
          <w:kern w:val="0"/>
          <w:sz w:val="28"/>
          <w:szCs w:val="28"/>
        </w:rPr>
        <w:t xml:space="preserve"> </w:t>
      </w:r>
      <w:r>
        <w:rPr>
          <w:rFonts w:ascii="宋体" w:hAnsi="宋体" w:cs="宋体" w:hint="eastAsia"/>
          <w:kern w:val="0"/>
          <w:sz w:val="28"/>
          <w:szCs w:val="28"/>
        </w:rPr>
        <w:t>某期货合约在某一交易日（该交易日称为D1交易日，以下几个交易日分别称为D2、D3、D4、D5交易日）出现单边市的，D2交易日该期货合约的涨跌停板幅度为在D1交易日涨跌停板幅度的</w:t>
      </w:r>
      <w:r>
        <w:rPr>
          <w:rFonts w:ascii="宋体" w:hAnsi="宋体" w:cs="宋体" w:hint="eastAsia"/>
          <w:kern w:val="0"/>
          <w:sz w:val="28"/>
          <w:szCs w:val="28"/>
        </w:rPr>
        <w:lastRenderedPageBreak/>
        <w:t>基础上增加3个百分点；D1交易日结算时和D2交易日该期货合约交易保证金标准为在D2交易日涨跌停板幅度的基础上增加2个百分点。若该合约调整后的交易保证金标准低于D1交易日执行的交易保证金标准，则按D1交易日该合约执行的交易保证金标准收取。</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D2交易日该期货合约未出现同方向单边市的，当日结算时交易保证金标准恢复到正常水平；D3交易日涨跌停板幅度恢复到正常水平。D2交易日出现同方向单边市的，D3交易日该期货合约的涨跌停板幅度为在D2交易日涨跌停板幅度的基础上增加3个百分点；D2交易日结算时和D3交易日该期货合约交易保证金标准为在D3交易日涨跌停板幅度的基础上增加2个百分点。若该合约调整后的交易保证金标准低于D2交易日执行的交易保证金标准，则按D2交易日该合约执行的交易保证金标准收取。</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D3交易日该期货合约未出现同方向单边市的，当日结算时交易保证金标准恢复到正常水平；D4交易日涨跌停板幅度恢复到正常水平。D3交易日该期货合约仍出现同方向单边市的（即连续三个交易日出现同方向单边市），交易所可根据市场情况决定并公告，对该合约实施下列三种措施中的任意一种：</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措施一：D4交易日继续交易，交易所可以采取调整交易保证金标准、调整涨跌停板幅度、暂停开仓、暂停平仓、限制出金、限期平仓及其他风险控制措施。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措施二：D4交易日暂停交易一天，交易所在D5交易日可以采取调整交易保证金标准、调整涨跌停板幅度、暂停开仓、暂停平仓、限制出金、限期平仓及其他风险控制措施。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措施三：D4交易日暂停交易一天，交易所在D4交易日强制减仓。强制减仓后，从下一交易日（含该日）开始，该期货合约交易保证金标准和涨跌停板幅度按照D3交易日的标准执行，直至该期货合约不再出现同方向单边市。</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第十八条</w:t>
      </w:r>
      <w:r>
        <w:rPr>
          <w:rFonts w:ascii="宋体" w:eastAsia="黑体" w:hAnsi="宋体" w:cs="宋体" w:hint="eastAsia"/>
          <w:kern w:val="0"/>
          <w:sz w:val="28"/>
          <w:szCs w:val="28"/>
        </w:rPr>
        <w:t xml:space="preserve"> </w:t>
      </w:r>
      <w:r>
        <w:rPr>
          <w:rFonts w:ascii="宋体" w:hAnsi="宋体" w:cs="宋体" w:hint="eastAsia"/>
          <w:kern w:val="0"/>
          <w:sz w:val="28"/>
          <w:szCs w:val="28"/>
        </w:rPr>
        <w:t>当D2及以后交易日出现与前一交易日反方向涨跌停板单边市，则视作新一轮单边市开始，该日即视为D1交易日，下一交易日涨跌停板幅度和交易保证金标准参照第十七条执行。</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第十九条</w:t>
      </w:r>
      <w:r>
        <w:rPr>
          <w:rFonts w:ascii="宋体" w:eastAsia="黑体" w:hAnsi="宋体" w:cs="宋体" w:hint="eastAsia"/>
          <w:kern w:val="0"/>
          <w:sz w:val="28"/>
          <w:szCs w:val="28"/>
        </w:rPr>
        <w:t xml:space="preserve"> </w:t>
      </w:r>
      <w:r>
        <w:rPr>
          <w:rFonts w:ascii="宋体" w:hAnsi="宋体" w:cs="宋体" w:hint="eastAsia"/>
          <w:kern w:val="0"/>
          <w:sz w:val="28"/>
          <w:szCs w:val="28"/>
        </w:rPr>
        <w:t>强制减仓是指D4交易日结算时，交易所将D3交易日闭市时以涨跌停板价申报的未成交平仓报单，且该客户（包括非期货公司会员，下同）该期货合约单位持仓亏损大于或者等于D3交易日结算价一定比例(该期货合约规定的最低交易保证金标准)的所有持仓，以D3交易日涨跌停板价，与该期货合约盈利持仓按规定方式和方法自动撮合成交。</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强制减仓前，同一客户在该期货合约的双向持仓首先自动对冲。强制减仓造成的经济损失由会员、境外经纪机构及客户承担。</w:t>
      </w:r>
    </w:p>
    <w:p w:rsidR="002605F3" w:rsidRDefault="002605F3" w:rsidP="002605F3">
      <w:pPr>
        <w:widowControl/>
        <w:spacing w:line="360" w:lineRule="auto"/>
        <w:ind w:firstLineChars="200" w:firstLine="560"/>
        <w:outlineLvl w:val="3"/>
        <w:rPr>
          <w:rFonts w:ascii="宋体" w:hAnsi="宋体" w:cs="宋体"/>
          <w:b/>
          <w:bCs/>
          <w:kern w:val="0"/>
          <w:sz w:val="28"/>
          <w:szCs w:val="28"/>
        </w:rPr>
      </w:pPr>
      <w:r>
        <w:rPr>
          <w:rFonts w:ascii="宋体" w:eastAsia="黑体" w:hAnsi="宋体" w:cs="宋体" w:hint="eastAsia"/>
          <w:kern w:val="0"/>
          <w:sz w:val="28"/>
          <w:szCs w:val="28"/>
        </w:rPr>
        <w:t>第二十条</w:t>
      </w:r>
      <w:r>
        <w:rPr>
          <w:rFonts w:ascii="宋体" w:eastAsia="黑体" w:hAnsi="宋体" w:cs="宋体" w:hint="eastAsia"/>
          <w:kern w:val="0"/>
          <w:sz w:val="28"/>
          <w:szCs w:val="28"/>
        </w:rPr>
        <w:t xml:space="preserve"> </w:t>
      </w:r>
      <w:r>
        <w:rPr>
          <w:rFonts w:ascii="宋体" w:hAnsi="宋体" w:cs="宋体" w:hint="eastAsia"/>
          <w:kern w:val="0"/>
          <w:sz w:val="28"/>
          <w:szCs w:val="28"/>
        </w:rPr>
        <w:t>强制减仓的方法和程序：</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（一）申报数量的确定</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D3交易日收市后，已在计算机系统中以涨（跌）停板价申报但没有成交的，且该客户该期货合约的单位持仓亏损大于或者等于D3</w:t>
      </w:r>
      <w:r>
        <w:rPr>
          <w:rFonts w:ascii="宋体" w:hAnsi="宋体" w:cs="宋体" w:hint="eastAsia"/>
          <w:kern w:val="0"/>
          <w:sz w:val="28"/>
          <w:szCs w:val="28"/>
        </w:rPr>
        <w:lastRenderedPageBreak/>
        <w:t>交易日结算价一定比例(该期货合约规定的最低交易保证金标准)的所有申报平仓数量的总和。因自动对冲客户双向持仓造成客户持仓少于平仓单所报数量时，系统自动将平仓数量进行调整。客户不愿按上述方法平仓的，可在收市前撤单，不作为申报的平仓报单。</w:t>
      </w:r>
    </w:p>
    <w:p w:rsidR="002605F3" w:rsidRDefault="002605F3" w:rsidP="002605F3">
      <w:pPr>
        <w:widowControl/>
        <w:spacing w:line="360" w:lineRule="auto"/>
        <w:ind w:firstLineChars="200" w:firstLine="420"/>
        <w:outlineLvl w:val="3"/>
        <w:rPr>
          <w:rFonts w:ascii="宋体" w:hAnsi="宋体" w:cs="宋体"/>
          <w:kern w:val="0"/>
          <w:sz w:val="28"/>
          <w:szCs w:val="28"/>
        </w:rPr>
      </w:pPr>
      <w:r w:rsidRPr="00874273">
        <w:pict>
          <v:shapetype id="_x0000_t202" coordsize="21600,21600" o:spt="202" path="m,l,21600r21600,l21600,xe">
            <v:stroke joinstyle="miter"/>
            <v:path gradientshapeok="t" o:connecttype="rect"/>
          </v:shapetype>
          <v:shape id="文本框 3" o:spid="_x0000_s1027" type="#_x0000_t202" style="position:absolute;left:0;text-align:left;margin-left:230.75pt;margin-top:-1.05pt;width:223.25pt;height:38.2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" filled="f" strokecolor="white">
            <v:textbox style="mso-next-textbox:#文本框 3">
              <w:txbxContent>
                <w:p w:rsidR="002605F3" w:rsidRDefault="002605F3" w:rsidP="002605F3">
                  <w:pPr>
                    <w:tabs>
                      <w:tab w:val="left" w:pos="1620"/>
                      <w:tab w:val="left" w:pos="1980"/>
                      <w:tab w:val="left" w:pos="5040"/>
                    </w:tabs>
                    <w:snapToGrid w:val="0"/>
                    <w:ind w:firstLineChars="1700" w:firstLine="4420"/>
                    <w:rPr>
                      <w:rFonts w:ascii="宋体"/>
                      <w:spacing w:val="-2"/>
                      <w:sz w:val="24"/>
                    </w:rPr>
                  </w:pPr>
                  <w:r>
                    <w:rPr>
                      <w:rFonts w:ascii="宋体" w:hAnsi="宋体" w:cs="宋体" w:hint="eastAsia"/>
                      <w:spacing w:val="10"/>
                      <w:sz w:val="24"/>
                    </w:rPr>
                    <w:t>客客户</w:t>
                  </w:r>
                  <w:r>
                    <w:rPr>
                      <w:rFonts w:ascii="宋体" w:hAnsi="宋体" w:cs="宋体" w:hint="eastAsia"/>
                      <w:spacing w:val="-2"/>
                      <w:sz w:val="24"/>
                    </w:rPr>
                    <w:t>该</w:t>
                  </w:r>
                  <w:r>
                    <w:rPr>
                      <w:rFonts w:ascii="宋体" w:hAnsi="宋体" w:cs="宋体" w:hint="eastAsia"/>
                      <w:sz w:val="24"/>
                    </w:rPr>
                    <w:t>期货</w:t>
                  </w:r>
                  <w:r>
                    <w:rPr>
                      <w:rFonts w:ascii="宋体" w:hAnsi="宋体" w:cs="宋体" w:hint="eastAsia"/>
                      <w:spacing w:val="-2"/>
                      <w:sz w:val="24"/>
                    </w:rPr>
                    <w:t>合约持仓盈亏的总和(元)</w:t>
                  </w:r>
                </w:p>
              </w:txbxContent>
            </v:textbox>
          </v:shape>
        </w:pict>
      </w:r>
      <w:r>
        <w:rPr>
          <w:rFonts w:ascii="宋体" w:hAnsi="宋体" w:cs="宋体" w:hint="eastAsia"/>
          <w:kern w:val="0"/>
          <w:sz w:val="28"/>
          <w:szCs w:val="28"/>
        </w:rPr>
        <w:t>客户单位持仓盈亏的计算方法：</w:t>
      </w:r>
    </w:p>
    <w:p w:rsidR="002605F3" w:rsidRDefault="002605F3" w:rsidP="002605F3">
      <w:pPr>
        <w:adjustRightInd w:val="0"/>
        <w:snapToGrid w:val="0"/>
        <w:ind w:right="-21" w:firstLineChars="200" w:firstLine="420"/>
        <w:rPr>
          <w:rFonts w:ascii="宋体" w:hAnsi="宋体" w:cs="宋体"/>
          <w:spacing w:val="10"/>
          <w:sz w:val="24"/>
        </w:rPr>
      </w:pPr>
      <w:r w:rsidRPr="00874273">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241.05pt;margin-top:10.75pt;width:179.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"/>
        </w:pict>
      </w:r>
      <w:r>
        <w:rPr>
          <w:rFonts w:ascii="宋体" w:hAnsi="宋体" w:cs="宋体" w:hint="eastAsia"/>
          <w:spacing w:val="10"/>
          <w:sz w:val="28"/>
          <w:szCs w:val="28"/>
        </w:rPr>
        <w:t>客户该期货合约单位持仓盈亏 =</w:t>
      </w:r>
    </w:p>
    <w:p w:rsidR="002605F3" w:rsidRDefault="002605F3" w:rsidP="002605F3">
      <w:pPr>
        <w:adjustRightInd w:val="0"/>
        <w:snapToGrid w:val="0"/>
        <w:ind w:firstLineChars="1918" w:firstLine="4987"/>
        <w:rPr>
          <w:rFonts w:ascii="宋体"/>
          <w:spacing w:val="-2"/>
          <w:sz w:val="24"/>
        </w:rPr>
      </w:pPr>
      <w:r>
        <w:rPr>
          <w:rFonts w:ascii="宋体" w:hAnsi="宋体" w:cs="宋体" w:hint="eastAsia"/>
          <w:spacing w:val="10"/>
          <w:sz w:val="24"/>
        </w:rPr>
        <w:t>客户</w:t>
      </w:r>
      <w:r>
        <w:rPr>
          <w:rFonts w:ascii="宋体" w:hAnsi="宋体" w:cs="宋体" w:hint="eastAsia"/>
          <w:spacing w:val="-2"/>
          <w:sz w:val="24"/>
        </w:rPr>
        <w:t>该</w:t>
      </w:r>
      <w:r>
        <w:rPr>
          <w:rFonts w:ascii="宋体" w:hAnsi="宋体" w:cs="宋体" w:hint="eastAsia"/>
          <w:sz w:val="24"/>
        </w:rPr>
        <w:t>期货</w:t>
      </w:r>
      <w:r>
        <w:rPr>
          <w:rFonts w:ascii="宋体" w:hAnsi="宋体" w:cs="宋体" w:hint="eastAsia"/>
          <w:spacing w:val="-2"/>
          <w:sz w:val="24"/>
        </w:rPr>
        <w:t>合约的持仓量(手)</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客户该期货合约持仓盈亏总和，是指客户该期货合约的持仓按其实际成交价与当日结算价之差计算的盈亏总和。</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（二）持仓盈利客户平仓范围的确定</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根据上述方法计算的客户单位持仓盈利的投机持仓（包括套利持仓）以及客户单位持仓盈利大于或等于期货合约规定价幅2倍的保值持仓都列入平仓范围。</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（三）平仓数量的分配原则及方法</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1.平仓数量的分配原则</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（1）在平仓范围内按盈利的大小和投机与保值的不同分成四级，逐级进行分配。</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首先分配给属平仓范围内单位持仓盈利大于或者等于期货合约规定价幅（以D3交易日结算价计算，下同）2倍的投机持仓(以下简称盈利2倍的投机持仓)。</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其次分配给单位持仓盈利大于或者等于期货合约规定价幅1倍的投机持仓(以下简称盈利1倍的投机持仓)。</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lastRenderedPageBreak/>
        <w:t>再次分配给单位持仓盈利大于或者等于期货合约规定价幅1倍以下的投机持仓(以下简称盈利1倍以下的投机持仓)。</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最后分配给单位持仓盈利大于或等于合约规定价幅2倍的保值持仓(以下简称盈利2倍的保值持仓)。</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（2）以上各级分配比例均按申报平仓数量(剩余申报平仓数量)与各级可平仓的盈利持仓数量之比进行分配。</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2.平仓数量的分配方法及步骤</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若盈利2倍的投机持仓数量大于或者等于申报平仓数量，根据申报平仓数量与盈利2倍的投机持仓数量的比例，将申报平仓数量向盈利2倍的投机客户等比例分配实际平仓数量。</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盈利2倍的投机持仓数量小于申报平仓数量，则根据盈利2倍的投机持仓数量与申报平仓数量的比例，将盈利2倍的投机持仓数量向申报平仓客户分配实际平仓数量；再把剩余的申报平仓数量按上述的分配方法向盈利1倍的投机持仓分配；还有剩余的，再向盈利1倍以下的投机持仓分配；若还有剩余，再向盈利2倍的保值持仓分配；仍有剩余的，不再分配。具体方法与步骤见本办法附件。</w:t>
      </w:r>
    </w:p>
    <w:p w:rsidR="002605F3" w:rsidRDefault="002605F3" w:rsidP="002605F3">
      <w:pPr>
        <w:widowControl/>
        <w:spacing w:line="360" w:lineRule="auto"/>
        <w:ind w:firstLineChars="202" w:firstLine="566"/>
        <w:rPr>
          <w:rFonts w:ascii="宋体" w:hAnsi="宋体" w:cs="宋体"/>
          <w:kern w:val="0"/>
          <w:sz w:val="28"/>
          <w:szCs w:val="28"/>
        </w:rPr>
      </w:pPr>
      <w:r>
        <w:rPr>
          <w:rFonts w:ascii="宋体" w:hAnsi="宋体" w:cs="宋体" w:hint="eastAsia"/>
          <w:kern w:val="0"/>
          <w:sz w:val="28"/>
          <w:szCs w:val="28"/>
        </w:rPr>
        <w:t>分配平仓数量以“手”为单位，不足一手的按如下方法计算。首先对每个交易编码所分配到的平仓数量的整数部分进行分配，然后按小数部分由大到小的顺序“进位取整”进行分配。</w:t>
      </w:r>
    </w:p>
    <w:p w:rsidR="002605F3" w:rsidRDefault="002605F3" w:rsidP="002605F3">
      <w:pPr>
        <w:tabs>
          <w:tab w:val="left" w:pos="1620"/>
          <w:tab w:val="left" w:pos="1980"/>
          <w:tab w:val="left" w:pos="5040"/>
        </w:tabs>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第二十一条</w:t>
      </w:r>
      <w:r>
        <w:rPr>
          <w:rFonts w:ascii="宋体" w:eastAsia="黑体" w:hAnsi="宋体" w:cs="宋体" w:hint="eastAsia"/>
          <w:kern w:val="0"/>
          <w:sz w:val="28"/>
          <w:szCs w:val="28"/>
        </w:rPr>
        <w:t xml:space="preserve"> </w:t>
      </w:r>
      <w:r>
        <w:rPr>
          <w:rFonts w:ascii="宋体" w:hAnsi="宋体" w:cs="宋体" w:hint="eastAsia"/>
          <w:kern w:val="0"/>
          <w:sz w:val="28"/>
          <w:szCs w:val="28"/>
        </w:rPr>
        <w:t>采取上述措施后该期货合约风险仍未释放的，交易所宣布进入异常情况，并按有关规定采取风险控制措施。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第二十二条</w:t>
      </w:r>
      <w:r>
        <w:rPr>
          <w:rFonts w:ascii="宋体" w:eastAsia="黑体" w:hAnsi="宋体" w:cs="宋体" w:hint="eastAsia"/>
          <w:kern w:val="0"/>
          <w:sz w:val="28"/>
          <w:szCs w:val="28"/>
        </w:rPr>
        <w:t xml:space="preserve"> </w:t>
      </w:r>
      <w:r>
        <w:rPr>
          <w:rFonts w:ascii="宋体" w:hAnsi="宋体" w:cs="宋体" w:hint="eastAsia"/>
          <w:kern w:val="0"/>
          <w:sz w:val="28"/>
          <w:szCs w:val="28"/>
        </w:rPr>
        <w:t>新期货合约成交首日以前（含该日）出现单边市的，该期货合约的涨跌停板幅度和交易保证金标准不受本章第十七条限制。</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某期货合约在交割月的最后交易日出现第三个连续同方向单边市的，则当日闭市后，交易所根据市场情况，决定对该期货合约先执行强制减仓之后配对交割或者直接配对交割。</w:t>
      </w:r>
    </w:p>
    <w:p w:rsidR="002605F3" w:rsidRDefault="002605F3" w:rsidP="002605F3">
      <w:pPr>
        <w:pStyle w:val="a4"/>
        <w:widowControl/>
        <w:numPr>
          <w:ilvl w:val="0"/>
          <w:numId w:val="1"/>
        </w:numPr>
        <w:spacing w:line="360" w:lineRule="auto"/>
        <w:ind w:firstLineChars="0"/>
        <w:jc w:val="center"/>
        <w:outlineLvl w:val="1"/>
        <w:rPr>
          <w:rFonts w:ascii="宋体" w:eastAsia="黑体" w:hAnsi="宋体" w:cs="宋体"/>
          <w:sz w:val="32"/>
          <w:szCs w:val="28"/>
        </w:rPr>
      </w:pPr>
      <w:bookmarkStart w:id="3" w:name="_Toc392878610"/>
      <w:r>
        <w:rPr>
          <w:rFonts w:ascii="宋体" w:eastAsia="黑体" w:hAnsi="宋体" w:cs="宋体" w:hint="eastAsia"/>
          <w:sz w:val="32"/>
          <w:szCs w:val="28"/>
        </w:rPr>
        <w:t>限仓制度</w:t>
      </w:r>
      <w:bookmarkEnd w:id="3"/>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第二十三条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期货交易实行限仓制度。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限仓是指交易所规定会员或者客户按单边计算的、可以持有某一期货合约投机持仓的最大数量。</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第二十四条</w:t>
      </w:r>
      <w:r>
        <w:rPr>
          <w:rFonts w:ascii="宋体" w:hAnsi="宋体" w:cs="宋体" w:hint="eastAsia"/>
          <w:kern w:val="0"/>
          <w:sz w:val="28"/>
          <w:szCs w:val="28"/>
        </w:rPr>
        <w:t xml:space="preserve"> 各品种期货合约对期货公司会员不限仓。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 xml:space="preserve">第二十五条 </w:t>
      </w:r>
      <w:r>
        <w:rPr>
          <w:rFonts w:ascii="宋体" w:hAnsi="宋体" w:cs="宋体" w:hint="eastAsia"/>
          <w:kern w:val="0"/>
          <w:sz w:val="28"/>
          <w:szCs w:val="28"/>
        </w:rPr>
        <w:t>棉花、白糖、PTA、菜油、甲醇、玻璃、菜粕、硅铁、锰硅、尿素、纯碱和短纤期货合约自合约挂牌至交割月前一个月第15个日历日期间的交易日，当合约的单边持仓量大于或等于一定规模时，非期货公司会员和客户按单边持仓量的10%确定限仓数额；当合约的单边持仓量小于一定规模时，非期货公司会员和客户按绝对量方式确定限仓数额。具体限仓标准见下表：</w:t>
      </w:r>
    </w:p>
    <w:tbl>
      <w:tblPr>
        <w:tblW w:w="5000" w:type="pct"/>
        <w:jc w:val="center"/>
        <w:tblLook w:val="04A0"/>
      </w:tblPr>
      <w:tblGrid>
        <w:gridCol w:w="1304"/>
        <w:gridCol w:w="3508"/>
        <w:gridCol w:w="3710"/>
      </w:tblGrid>
      <w:tr w:rsidR="002605F3" w:rsidTr="00807509">
        <w:trPr>
          <w:trHeight w:val="540"/>
          <w:jc w:val="center"/>
        </w:trPr>
        <w:tc>
          <w:tcPr>
            <w:tcW w:w="76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品种</w:t>
            </w:r>
          </w:p>
        </w:tc>
        <w:tc>
          <w:tcPr>
            <w:tcW w:w="2058"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期货合约单边持仓量</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非期货公司会员及客户最大单边持仓</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棉花</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白糖</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PTA</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单边持仓量＜50万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单边持仓量≥50万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菜油</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lastRenderedPageBreak/>
              <w:t>甲醇</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玻璃</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nil"/>
              <w:left w:val="single" w:sz="4" w:space="0" w:color="auto"/>
              <w:bottom w:val="single" w:sz="4" w:space="0" w:color="000000"/>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菜粕</w:t>
            </w: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0" w:type="auto"/>
            <w:vMerge/>
            <w:tcBorders>
              <w:top w:val="nil"/>
              <w:left w:val="single" w:sz="4" w:space="0" w:color="auto"/>
              <w:bottom w:val="single" w:sz="4" w:space="0" w:color="000000"/>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nil"/>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硅铁</w:t>
            </w: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r>
      <w:tr w:rsidR="002605F3" w:rsidTr="0080750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锰硅</w:t>
            </w: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30000</w:t>
            </w:r>
          </w:p>
        </w:tc>
      </w:tr>
      <w:tr w:rsidR="002605F3" w:rsidTr="0080750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单边持仓量≥30万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尿素</w:t>
            </w: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r>
      <w:tr w:rsidR="002605F3" w:rsidTr="0080750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纯碱</w:t>
            </w: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单边持仓量≥20万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r w:rsidR="002605F3" w:rsidTr="00807509">
        <w:trPr>
          <w:trHeight w:val="285"/>
          <w:jc w:val="center"/>
        </w:trPr>
        <w:tc>
          <w:tcPr>
            <w:tcW w:w="765"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短纤</w:t>
            </w: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r>
      <w:tr w:rsidR="002605F3" w:rsidTr="00807509">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单边持仓量≥10万</w:t>
            </w:r>
          </w:p>
        </w:tc>
        <w:tc>
          <w:tcPr>
            <w:tcW w:w="2177" w:type="pct"/>
            <w:tcBorders>
              <w:top w:val="single" w:sz="4" w:space="0" w:color="auto"/>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单边持仓量×10%</w:t>
            </w:r>
          </w:p>
        </w:tc>
      </w:tr>
    </w:tbl>
    <w:p w:rsidR="002605F3" w:rsidRDefault="002605F3" w:rsidP="002605F3">
      <w:pPr>
        <w:snapToGrid w:val="0"/>
        <w:spacing w:line="520" w:lineRule="exact"/>
        <w:rPr>
          <w:rFonts w:ascii="宋体" w:hAnsi="宋体" w:cs="楷体_GB2312"/>
          <w:color w:val="000000"/>
          <w:kern w:val="0"/>
          <w:szCs w:val="21"/>
        </w:rPr>
      </w:pPr>
      <w:r>
        <w:rPr>
          <w:rFonts w:ascii="宋体" w:hAnsi="宋体" w:cs="楷体_GB2312" w:hint="eastAsia"/>
          <w:color w:val="000000"/>
          <w:kern w:val="0"/>
          <w:szCs w:val="21"/>
        </w:rPr>
        <w:t>注：单位，手。</w:t>
      </w:r>
    </w:p>
    <w:p w:rsidR="002605F3" w:rsidRDefault="002605F3" w:rsidP="002605F3">
      <w:pPr>
        <w:ind w:firstLineChars="200" w:firstLine="560"/>
        <w:rPr>
          <w:rFonts w:ascii="宋体" w:hAnsi="宋体"/>
          <w:sz w:val="28"/>
          <w:szCs w:val="28"/>
        </w:rPr>
      </w:pPr>
      <w:r>
        <w:rPr>
          <w:rFonts w:ascii="宋体" w:hAnsi="宋体" w:hint="eastAsia"/>
          <w:sz w:val="28"/>
          <w:szCs w:val="28"/>
        </w:rPr>
        <w:t>普麦、强麦、早籼稻、菜籽、粳稻、晚籼稻、棉纱、苹果和花生期货合约自合约挂牌至交割月前一个月第15个日历日期间的交易日限仓标准见下表：</w:t>
      </w:r>
    </w:p>
    <w:tbl>
      <w:tblPr>
        <w:tblW w:w="5000" w:type="pct"/>
        <w:jc w:val="center"/>
        <w:tblLook w:val="04A0"/>
      </w:tblPr>
      <w:tblGrid>
        <w:gridCol w:w="3361"/>
        <w:gridCol w:w="5161"/>
      </w:tblGrid>
      <w:tr w:rsidR="002605F3" w:rsidTr="00807509">
        <w:trPr>
          <w:trHeight w:val="285"/>
          <w:jc w:val="center"/>
        </w:trPr>
        <w:tc>
          <w:tcPr>
            <w:tcW w:w="197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宋体"/>
                <w:color w:val="000000"/>
                <w:kern w:val="0"/>
                <w:sz w:val="24"/>
              </w:rPr>
            </w:pPr>
            <w:r>
              <w:rPr>
                <w:rFonts w:ascii="宋体" w:hAnsi="宋体" w:cs="楷体_GB2312" w:hint="eastAsia"/>
                <w:color w:val="000000"/>
                <w:kern w:val="0"/>
                <w:sz w:val="24"/>
              </w:rPr>
              <w:t>品种</w:t>
            </w:r>
          </w:p>
        </w:tc>
        <w:tc>
          <w:tcPr>
            <w:tcW w:w="3028" w:type="pct"/>
            <w:tcBorders>
              <w:top w:val="single" w:sz="4" w:space="0" w:color="auto"/>
              <w:left w:val="nil"/>
              <w:bottom w:val="single" w:sz="4" w:space="0" w:color="auto"/>
              <w:right w:val="single" w:sz="4" w:space="0" w:color="auto"/>
            </w:tcBorders>
            <w:noWrap/>
            <w:vAlign w:val="center"/>
            <w:hideMark/>
          </w:tcPr>
          <w:p w:rsidR="002605F3" w:rsidRDefault="002605F3" w:rsidP="00807509">
            <w:pPr>
              <w:jc w:val="center"/>
              <w:rPr>
                <w:rFonts w:ascii="宋体" w:hAnsi="宋体" w:cs="宋体"/>
                <w:color w:val="000000"/>
                <w:kern w:val="0"/>
                <w:sz w:val="22"/>
              </w:rPr>
            </w:pPr>
            <w:r>
              <w:rPr>
                <w:rFonts w:ascii="宋体" w:hAnsi="宋体" w:cs="楷体_GB2312" w:hint="eastAsia"/>
                <w:color w:val="000000"/>
                <w:kern w:val="0"/>
                <w:sz w:val="24"/>
              </w:rPr>
              <w:t>非期货公司会员及客户最大单边持仓（手）</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普麦</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强麦</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早籼稻</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7500</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菜籽</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粳稻</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1972" w:type="pct"/>
            <w:tcBorders>
              <w:top w:val="nil"/>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晚籼稻</w:t>
            </w:r>
          </w:p>
        </w:tc>
        <w:tc>
          <w:tcPr>
            <w:tcW w:w="3028" w:type="pct"/>
            <w:tcBorders>
              <w:top w:val="nil"/>
              <w:left w:val="nil"/>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20000</w:t>
            </w:r>
          </w:p>
        </w:tc>
      </w:tr>
      <w:tr w:rsidR="002605F3" w:rsidTr="00807509">
        <w:trPr>
          <w:trHeight w:val="285"/>
          <w:jc w:val="center"/>
        </w:trPr>
        <w:tc>
          <w:tcPr>
            <w:tcW w:w="197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棉纱</w:t>
            </w:r>
          </w:p>
        </w:tc>
        <w:tc>
          <w:tcPr>
            <w:tcW w:w="3028"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5000</w:t>
            </w:r>
          </w:p>
        </w:tc>
      </w:tr>
      <w:tr w:rsidR="002605F3" w:rsidTr="00807509">
        <w:trPr>
          <w:trHeight w:val="285"/>
          <w:jc w:val="center"/>
        </w:trPr>
        <w:tc>
          <w:tcPr>
            <w:tcW w:w="197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苹果</w:t>
            </w:r>
          </w:p>
        </w:tc>
        <w:tc>
          <w:tcPr>
            <w:tcW w:w="3028"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285"/>
          <w:jc w:val="center"/>
        </w:trPr>
        <w:tc>
          <w:tcPr>
            <w:tcW w:w="197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花生</w:t>
            </w:r>
          </w:p>
        </w:tc>
        <w:tc>
          <w:tcPr>
            <w:tcW w:w="3028"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w:t>
            </w:r>
          </w:p>
        </w:tc>
      </w:tr>
    </w:tbl>
    <w:p w:rsidR="002605F3" w:rsidRDefault="002605F3" w:rsidP="002605F3">
      <w:pPr>
        <w:ind w:firstLineChars="200" w:firstLine="560"/>
        <w:rPr>
          <w:rFonts w:ascii="宋体" w:hAnsi="宋体"/>
          <w:sz w:val="28"/>
          <w:szCs w:val="28"/>
        </w:rPr>
      </w:pPr>
      <w:r>
        <w:rPr>
          <w:rFonts w:ascii="宋体" w:hAnsi="宋体" w:hint="eastAsia"/>
          <w:sz w:val="28"/>
          <w:szCs w:val="28"/>
        </w:rPr>
        <w:t>动力煤、红枣期货合约自合约挂牌至交割月前一个月第15个日历日期间的交易日限仓标准见下表：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3494"/>
        <w:gridCol w:w="3431"/>
      </w:tblGrid>
      <w:tr w:rsidR="002605F3" w:rsidTr="00807509">
        <w:trPr>
          <w:jc w:val="center"/>
        </w:trPr>
        <w:tc>
          <w:tcPr>
            <w:tcW w:w="937"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品种</w:t>
            </w:r>
          </w:p>
        </w:tc>
        <w:tc>
          <w:tcPr>
            <w:tcW w:w="4063" w:type="pct"/>
            <w:gridSpan w:val="2"/>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非期货公司会员及客户最大单边持仓（手）</w:t>
            </w:r>
          </w:p>
        </w:tc>
      </w:tr>
      <w:tr w:rsidR="002605F3" w:rsidTr="0080750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50"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自挂牌至交割月前二个月最后一个日历日期间的交易日</w:t>
            </w:r>
          </w:p>
        </w:tc>
        <w:tc>
          <w:tcPr>
            <w:tcW w:w="201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自交割月前一个月第一个日历日至交割月前一个月第15个日历日期间的交易日</w:t>
            </w:r>
          </w:p>
        </w:tc>
      </w:tr>
      <w:tr w:rsidR="002605F3" w:rsidTr="00807509">
        <w:trPr>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kern w:val="0"/>
                <w:sz w:val="24"/>
                <w:szCs w:val="21"/>
              </w:rPr>
              <w:t>动力煤</w:t>
            </w:r>
          </w:p>
        </w:tc>
        <w:tc>
          <w:tcPr>
            <w:tcW w:w="2050"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kern w:val="0"/>
                <w:sz w:val="24"/>
                <w:szCs w:val="21"/>
              </w:rPr>
              <w:t>2000</w:t>
            </w:r>
          </w:p>
        </w:tc>
        <w:tc>
          <w:tcPr>
            <w:tcW w:w="201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kern w:val="0"/>
                <w:sz w:val="24"/>
                <w:szCs w:val="21"/>
              </w:rPr>
              <w:t>1000</w:t>
            </w:r>
          </w:p>
        </w:tc>
      </w:tr>
      <w:tr w:rsidR="002605F3" w:rsidTr="00807509">
        <w:trPr>
          <w:jc w:val="center"/>
        </w:trPr>
        <w:tc>
          <w:tcPr>
            <w:tcW w:w="937"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kern w:val="0"/>
                <w:sz w:val="24"/>
                <w:szCs w:val="21"/>
              </w:rPr>
              <w:t>红枣</w:t>
            </w:r>
          </w:p>
        </w:tc>
        <w:tc>
          <w:tcPr>
            <w:tcW w:w="2050"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color w:val="000000"/>
                <w:kern w:val="0"/>
                <w:sz w:val="24"/>
                <w:szCs w:val="21"/>
              </w:rPr>
              <w:t>600</w:t>
            </w:r>
          </w:p>
        </w:tc>
        <w:tc>
          <w:tcPr>
            <w:tcW w:w="2012"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center"/>
              <w:rPr>
                <w:rFonts w:ascii="宋体" w:hAnsi="宋体" w:cs="楷体_GB2312"/>
                <w:kern w:val="0"/>
                <w:sz w:val="24"/>
                <w:szCs w:val="21"/>
              </w:rPr>
            </w:pPr>
            <w:r>
              <w:rPr>
                <w:rFonts w:ascii="宋体" w:hAnsi="宋体" w:cs="楷体_GB2312" w:hint="eastAsia"/>
                <w:color w:val="000000"/>
                <w:kern w:val="0"/>
                <w:sz w:val="24"/>
                <w:szCs w:val="21"/>
              </w:rPr>
              <w:t>200</w:t>
            </w:r>
          </w:p>
        </w:tc>
      </w:tr>
    </w:tbl>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各品种期货合约自交割月前一个月第16个日历日至交割月限仓标准见下表：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262"/>
        <w:gridCol w:w="3451"/>
      </w:tblGrid>
      <w:tr w:rsidR="002605F3" w:rsidTr="00807509">
        <w:trPr>
          <w:trHeight w:val="285"/>
        </w:trPr>
        <w:tc>
          <w:tcPr>
            <w:tcW w:w="1061"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品种</w:t>
            </w:r>
          </w:p>
        </w:tc>
        <w:tc>
          <w:tcPr>
            <w:tcW w:w="3939" w:type="pct"/>
            <w:gridSpan w:val="2"/>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非期货公司会员及客户最大单边持仓（手）</w:t>
            </w:r>
          </w:p>
        </w:tc>
      </w:tr>
      <w:tr w:rsidR="002605F3" w:rsidTr="0080750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1914" w:type="pct"/>
            <w:vMerge w:val="restar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交割月前一个月第16个日历日至交割月前一个月最后一个日历日期间的交易日</w:t>
            </w:r>
          </w:p>
        </w:tc>
        <w:tc>
          <w:tcPr>
            <w:tcW w:w="2025" w:type="pct"/>
            <w:tcBorders>
              <w:top w:val="single" w:sz="4" w:space="0" w:color="auto"/>
              <w:left w:val="single" w:sz="4" w:space="0" w:color="auto"/>
              <w:bottom w:val="nil"/>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交割月份</w:t>
            </w:r>
          </w:p>
        </w:tc>
      </w:tr>
      <w:tr w:rsidR="002605F3" w:rsidTr="0080750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widowControl/>
              <w:jc w:val="left"/>
              <w:rPr>
                <w:rFonts w:ascii="宋体" w:hAnsi="宋体" w:cs="楷体_GB2312"/>
                <w:b/>
                <w:bCs/>
                <w:color w:val="000000"/>
                <w:kern w:val="0"/>
                <w:sz w:val="24"/>
              </w:rPr>
            </w:pPr>
          </w:p>
        </w:tc>
        <w:tc>
          <w:tcPr>
            <w:tcW w:w="2025" w:type="pct"/>
            <w:tcBorders>
              <w:top w:val="nil"/>
              <w:left w:val="single" w:sz="4" w:space="0" w:color="auto"/>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（自然人客户限仓为0）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普麦</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600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强麦</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棉花</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4000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800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白糖</w:t>
            </w:r>
          </w:p>
        </w:tc>
        <w:tc>
          <w:tcPr>
            <w:tcW w:w="1914" w:type="pct"/>
            <w:tcBorders>
              <w:top w:val="single" w:sz="4" w:space="0" w:color="auto"/>
              <w:left w:val="single" w:sz="4" w:space="0" w:color="auto"/>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6000</w:t>
            </w:r>
          </w:p>
        </w:tc>
        <w:tc>
          <w:tcPr>
            <w:tcW w:w="2025" w:type="pct"/>
            <w:tcBorders>
              <w:top w:val="single" w:sz="4" w:space="0" w:color="auto"/>
              <w:left w:val="single" w:sz="4" w:space="0" w:color="auto"/>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PTA</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菜油</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早籼稻</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400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甲醇</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玻璃</w:t>
            </w:r>
          </w:p>
        </w:tc>
        <w:tc>
          <w:tcPr>
            <w:tcW w:w="1914" w:type="pct"/>
            <w:tcBorders>
              <w:top w:val="single" w:sz="4" w:space="0" w:color="auto"/>
              <w:left w:val="single" w:sz="4" w:space="0" w:color="auto"/>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5000</w:t>
            </w:r>
          </w:p>
        </w:tc>
        <w:tc>
          <w:tcPr>
            <w:tcW w:w="2025" w:type="pct"/>
            <w:tcBorders>
              <w:top w:val="single" w:sz="4" w:space="0" w:color="auto"/>
              <w:left w:val="single" w:sz="4" w:space="0" w:color="auto"/>
              <w:bottom w:val="single" w:sz="4" w:space="0" w:color="auto"/>
              <w:right w:val="single" w:sz="4" w:space="0" w:color="auto"/>
            </w:tcBorders>
            <w:noWrap/>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菜籽</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菜粕</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动力煤</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400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粳稻</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晚籼稻</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3000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硅铁</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锰硅</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棉纱</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500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100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苹果</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20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红枣</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40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10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尿素</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3000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1000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纯碱</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4000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kern w:val="0"/>
                <w:sz w:val="24"/>
              </w:rPr>
            </w:pPr>
            <w:r>
              <w:rPr>
                <w:rFonts w:ascii="宋体" w:hAnsi="宋体" w:cs="楷体_GB2312" w:hint="eastAsia"/>
                <w:kern w:val="0"/>
                <w:sz w:val="24"/>
              </w:rPr>
              <w:t>800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短纤</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snapToGrid w:val="0"/>
              <w:jc w:val="center"/>
              <w:rPr>
                <w:rFonts w:ascii="宋体" w:hAnsi="宋体" w:cs="楷体_GB2312"/>
                <w:color w:val="000000"/>
                <w:kern w:val="0"/>
                <w:sz w:val="24"/>
              </w:rPr>
            </w:pPr>
            <w:r>
              <w:rPr>
                <w:rFonts w:ascii="宋体" w:hAnsi="宋体" w:cs="楷体_GB2312" w:hint="eastAsia"/>
                <w:color w:val="000000"/>
                <w:kern w:val="0"/>
                <w:sz w:val="24"/>
              </w:rPr>
              <w:t>1500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snapToGrid w:val="0"/>
              <w:jc w:val="center"/>
              <w:rPr>
                <w:rFonts w:ascii="宋体" w:hAnsi="宋体" w:cs="楷体_GB2312"/>
                <w:color w:val="000000"/>
                <w:kern w:val="0"/>
                <w:sz w:val="24"/>
              </w:rPr>
            </w:pPr>
            <w:r>
              <w:rPr>
                <w:rFonts w:ascii="宋体" w:hAnsi="宋体" w:cs="楷体_GB2312" w:hint="eastAsia"/>
                <w:color w:val="000000"/>
                <w:kern w:val="0"/>
                <w:sz w:val="24"/>
              </w:rPr>
              <w:t>300</w:t>
            </w:r>
          </w:p>
        </w:tc>
      </w:tr>
      <w:tr w:rsidR="002605F3" w:rsidTr="00807509">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jc w:val="center"/>
              <w:rPr>
                <w:rFonts w:ascii="宋体" w:hAnsi="宋体" w:cs="楷体_GB2312"/>
                <w:color w:val="000000"/>
                <w:kern w:val="0"/>
                <w:sz w:val="24"/>
              </w:rPr>
            </w:pPr>
            <w:r>
              <w:rPr>
                <w:rFonts w:ascii="宋体" w:hAnsi="宋体" w:cs="楷体_GB2312" w:hint="eastAsia"/>
                <w:color w:val="000000"/>
                <w:kern w:val="0"/>
                <w:sz w:val="24"/>
              </w:rPr>
              <w:t>花生</w:t>
            </w:r>
          </w:p>
        </w:tc>
        <w:tc>
          <w:tcPr>
            <w:tcW w:w="1914"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snapToGrid w:val="0"/>
              <w:jc w:val="center"/>
              <w:rPr>
                <w:rFonts w:ascii="宋体" w:hAnsi="宋体" w:cs="楷体_GB2312"/>
                <w:color w:val="000000"/>
                <w:kern w:val="0"/>
                <w:sz w:val="24"/>
              </w:rPr>
            </w:pPr>
            <w:r>
              <w:rPr>
                <w:rFonts w:ascii="宋体" w:hAnsi="宋体" w:cs="楷体_GB2312" w:hint="eastAsia"/>
                <w:color w:val="000000"/>
                <w:kern w:val="0"/>
                <w:sz w:val="24"/>
              </w:rPr>
              <w:t>500</w:t>
            </w:r>
          </w:p>
        </w:tc>
        <w:tc>
          <w:tcPr>
            <w:tcW w:w="2025" w:type="pct"/>
            <w:tcBorders>
              <w:top w:val="single" w:sz="4" w:space="0" w:color="auto"/>
              <w:left w:val="single" w:sz="4" w:space="0" w:color="auto"/>
              <w:bottom w:val="single" w:sz="4" w:space="0" w:color="auto"/>
              <w:right w:val="single" w:sz="4" w:space="0" w:color="auto"/>
            </w:tcBorders>
            <w:vAlign w:val="center"/>
            <w:hideMark/>
          </w:tcPr>
          <w:p w:rsidR="002605F3" w:rsidRDefault="002605F3" w:rsidP="00807509">
            <w:pPr>
              <w:snapToGrid w:val="0"/>
              <w:jc w:val="center"/>
              <w:rPr>
                <w:rFonts w:ascii="宋体" w:hAnsi="宋体" w:cs="楷体_GB2312"/>
                <w:color w:val="000000"/>
                <w:kern w:val="0"/>
                <w:sz w:val="24"/>
              </w:rPr>
            </w:pPr>
            <w:r>
              <w:rPr>
                <w:rFonts w:ascii="宋体" w:hAnsi="宋体" w:cs="楷体_GB2312" w:hint="eastAsia"/>
                <w:color w:val="000000"/>
                <w:kern w:val="0"/>
                <w:sz w:val="24"/>
              </w:rPr>
              <w:t>100</w:t>
            </w:r>
          </w:p>
        </w:tc>
      </w:tr>
    </w:tbl>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不得交割的客户具体见《郑州商品交易所期货交割细则》相关规定。</w:t>
      </w:r>
    </w:p>
    <w:p w:rsidR="002605F3" w:rsidRDefault="002605F3" w:rsidP="002605F3">
      <w:pPr>
        <w:tabs>
          <w:tab w:val="left" w:pos="1620"/>
          <w:tab w:val="left" w:pos="1800"/>
          <w:tab w:val="left" w:pos="2340"/>
          <w:tab w:val="left" w:pos="5040"/>
        </w:tabs>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第二十六条</w:t>
      </w:r>
      <w:r>
        <w:rPr>
          <w:rFonts w:ascii="宋体" w:eastAsia="黑体" w:hAnsi="宋体" w:cs="宋体" w:hint="eastAsia"/>
          <w:kern w:val="0"/>
          <w:sz w:val="28"/>
          <w:szCs w:val="28"/>
        </w:rPr>
        <w:t xml:space="preserve"> </w:t>
      </w:r>
      <w:r>
        <w:rPr>
          <w:rFonts w:ascii="宋体" w:hAnsi="宋体" w:cs="宋体" w:hint="eastAsia"/>
          <w:kern w:val="0"/>
          <w:sz w:val="28"/>
          <w:szCs w:val="28"/>
        </w:rPr>
        <w:t>交割月前一个月的最后一个交易日收盘前，会员及客户应当将其期货合约持仓调整为最小交割单位的整倍数；自进入交割月起，会员及客户的持仓应当是最小交割单位的整倍数。</w:t>
      </w:r>
    </w:p>
    <w:p w:rsidR="002605F3" w:rsidRDefault="002605F3" w:rsidP="002605F3">
      <w:pPr>
        <w:snapToGrid w:val="0"/>
        <w:spacing w:line="360" w:lineRule="auto"/>
        <w:ind w:firstLineChars="201" w:firstLine="563"/>
        <w:rPr>
          <w:rFonts w:ascii="宋体" w:hAnsi="宋体" w:cs="宋体"/>
          <w:kern w:val="0"/>
          <w:sz w:val="28"/>
          <w:szCs w:val="28"/>
        </w:rPr>
      </w:pPr>
      <w:r>
        <w:rPr>
          <w:rFonts w:ascii="宋体" w:eastAsia="黑体" w:hAnsi="宋体" w:cs="宋体" w:hint="eastAsia"/>
          <w:kern w:val="0"/>
          <w:sz w:val="28"/>
          <w:szCs w:val="28"/>
        </w:rPr>
        <w:t>第二十七条</w:t>
      </w:r>
      <w:r>
        <w:rPr>
          <w:rFonts w:ascii="宋体" w:eastAsia="黑体" w:hAnsi="宋体" w:cs="宋体" w:hint="eastAsia"/>
          <w:kern w:val="0"/>
          <w:sz w:val="28"/>
          <w:szCs w:val="28"/>
        </w:rPr>
        <w:t xml:space="preserve"> </w:t>
      </w:r>
      <w:r>
        <w:rPr>
          <w:rFonts w:ascii="宋体" w:hAnsi="宋体" w:cs="宋体" w:hint="eastAsia"/>
          <w:kern w:val="0"/>
          <w:sz w:val="28"/>
          <w:szCs w:val="28"/>
        </w:rPr>
        <w:t>同一客户在不同期货公司会员处开有多个交易编码，各交易编码上所有持仓的合计数，不得超出一个客户的限仓数额。</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黑体" w:eastAsia="黑体" w:hAnsi="宋体" w:cs="黑体" w:hint="eastAsia"/>
          <w:kern w:val="0"/>
          <w:sz w:val="28"/>
          <w:szCs w:val="28"/>
        </w:rPr>
        <w:lastRenderedPageBreak/>
        <w:t xml:space="preserve">第二十八条 </w:t>
      </w:r>
      <w:r>
        <w:rPr>
          <w:rFonts w:ascii="宋体" w:hAnsi="宋体" w:cs="宋体" w:hint="eastAsia"/>
          <w:kern w:val="0"/>
          <w:sz w:val="28"/>
          <w:szCs w:val="28"/>
        </w:rPr>
        <w:t>非期货公司会员或者客户的持仓数量不得超过交易所规定的持仓限额。</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非期货公司会员或者客户超过持仓限额的，交易所按照本办法第七章强行平仓制度有关规定进行处理，并可以采取要求提交书面说明、书面警示、约见谈话、限制开仓等措施。</w:t>
      </w:r>
    </w:p>
    <w:p w:rsidR="002605F3" w:rsidRDefault="002605F3" w:rsidP="002605F3">
      <w:pPr>
        <w:pStyle w:val="a4"/>
        <w:widowControl/>
        <w:numPr>
          <w:ilvl w:val="0"/>
          <w:numId w:val="1"/>
        </w:numPr>
        <w:spacing w:line="360" w:lineRule="auto"/>
        <w:ind w:firstLineChars="0"/>
        <w:jc w:val="center"/>
        <w:outlineLvl w:val="1"/>
        <w:rPr>
          <w:rFonts w:ascii="宋体" w:eastAsia="黑体" w:hAnsi="宋体" w:cs="宋体"/>
          <w:sz w:val="32"/>
          <w:szCs w:val="28"/>
        </w:rPr>
      </w:pPr>
      <w:r>
        <w:rPr>
          <w:rFonts w:ascii="宋体" w:eastAsia="黑体" w:hAnsi="宋体" w:cs="宋体" w:hint="eastAsia"/>
          <w:sz w:val="32"/>
          <w:szCs w:val="28"/>
        </w:rPr>
        <w:t>交易限额制度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第二十九条</w:t>
      </w:r>
      <w:r>
        <w:rPr>
          <w:rFonts w:ascii="宋体" w:eastAsia="黑体" w:hAnsi="宋体" w:cs="宋体" w:hint="eastAsia"/>
          <w:kern w:val="0"/>
          <w:sz w:val="28"/>
          <w:szCs w:val="28"/>
        </w:rPr>
        <w:t xml:space="preserve"> </w:t>
      </w:r>
      <w:r>
        <w:rPr>
          <w:rFonts w:ascii="宋体" w:hAnsi="宋体" w:cs="宋体" w:hint="eastAsia"/>
          <w:kern w:val="0"/>
          <w:sz w:val="28"/>
          <w:szCs w:val="28"/>
        </w:rPr>
        <w:t>交易所实行交易限额制度。交易限额是指交易所规定会员或者客户对某一合约在某一期限内开仓交易的最大数量。交易所可以根据市场情况，对不同的上市品种、合约，对部分或者全部的会员、客户，制定交易限额，具体标准由交易所另行公布。</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套期保值交易和做市交易的开仓数量不受本条前款限制。</w:t>
      </w:r>
    </w:p>
    <w:p w:rsidR="002605F3" w:rsidRDefault="002605F3" w:rsidP="002605F3">
      <w:pPr>
        <w:snapToGrid w:val="0"/>
        <w:spacing w:line="520" w:lineRule="exact"/>
        <w:ind w:firstLineChars="201" w:firstLine="563"/>
        <w:rPr>
          <w:rFonts w:ascii="宋体" w:hAnsi="宋体" w:cs="宋体"/>
          <w:kern w:val="0"/>
          <w:sz w:val="28"/>
          <w:szCs w:val="28"/>
        </w:rPr>
      </w:pPr>
      <w:r>
        <w:rPr>
          <w:rFonts w:ascii="宋体" w:eastAsia="黑体" w:hAnsi="宋体" w:cs="宋体" w:hint="eastAsia"/>
          <w:kern w:val="0"/>
          <w:sz w:val="28"/>
          <w:szCs w:val="28"/>
        </w:rPr>
        <w:t>第三十条</w:t>
      </w:r>
      <w:r>
        <w:rPr>
          <w:rFonts w:ascii="宋体" w:eastAsia="黑体" w:hAnsi="宋体" w:cs="宋体" w:hint="eastAsia"/>
          <w:kern w:val="0"/>
          <w:sz w:val="28"/>
          <w:szCs w:val="28"/>
        </w:rPr>
        <w:t xml:space="preserve"> </w:t>
      </w:r>
      <w:r>
        <w:rPr>
          <w:rFonts w:ascii="宋体" w:hAnsi="宋体" w:cs="宋体" w:hint="eastAsia"/>
          <w:kern w:val="0"/>
          <w:sz w:val="28"/>
          <w:szCs w:val="28"/>
        </w:rPr>
        <w:t>同一客户在不同期货公司会员处开有多个交易编码，各交易编码上所有开仓交易数量的合计数，不得超过一个客户的交易限额。</w:t>
      </w:r>
    </w:p>
    <w:p w:rsidR="002605F3" w:rsidRDefault="002605F3" w:rsidP="002605F3">
      <w:pPr>
        <w:snapToGrid w:val="0"/>
        <w:spacing w:line="520" w:lineRule="exact"/>
        <w:ind w:firstLineChars="201" w:firstLine="563"/>
        <w:rPr>
          <w:rFonts w:ascii="宋体" w:hAnsi="宋体" w:cs="宋体"/>
          <w:kern w:val="0"/>
          <w:sz w:val="28"/>
          <w:szCs w:val="28"/>
        </w:rPr>
      </w:pPr>
      <w:r>
        <w:rPr>
          <w:rFonts w:ascii="宋体" w:eastAsia="黑体" w:hAnsi="宋体" w:cs="宋体" w:hint="eastAsia"/>
          <w:kern w:val="0"/>
          <w:sz w:val="28"/>
          <w:szCs w:val="28"/>
        </w:rPr>
        <w:t>第三十一条</w:t>
      </w:r>
      <w:r>
        <w:rPr>
          <w:rFonts w:ascii="宋体" w:eastAsia="黑体" w:hAnsi="宋体" w:cs="宋体" w:hint="eastAsia"/>
          <w:kern w:val="0"/>
          <w:sz w:val="28"/>
          <w:szCs w:val="28"/>
        </w:rPr>
        <w:t xml:space="preserve"> </w:t>
      </w:r>
      <w:r>
        <w:rPr>
          <w:rFonts w:ascii="宋体" w:hAnsi="宋体" w:cs="宋体" w:hint="eastAsia"/>
          <w:kern w:val="0"/>
          <w:sz w:val="28"/>
          <w:szCs w:val="28"/>
        </w:rPr>
        <w:t>非期货公司会员或者客户的开仓数量不得超过交易所规定的交易限额。对超过交易限额的非期货公司会员或者客户，交易所可以采取电话提示、要求报告情况、要求提交书面承诺、列入重点监管名单、暂停开仓交易等措施。</w:t>
      </w:r>
    </w:p>
    <w:p w:rsidR="002605F3" w:rsidRDefault="002605F3" w:rsidP="002605F3">
      <w:pPr>
        <w:pStyle w:val="a4"/>
        <w:widowControl/>
        <w:numPr>
          <w:ilvl w:val="0"/>
          <w:numId w:val="1"/>
        </w:numPr>
        <w:spacing w:line="360" w:lineRule="auto"/>
        <w:ind w:firstLineChars="0"/>
        <w:jc w:val="center"/>
        <w:outlineLvl w:val="1"/>
        <w:rPr>
          <w:rFonts w:ascii="宋体" w:eastAsia="黑体" w:hAnsi="宋体" w:cs="宋体"/>
          <w:sz w:val="32"/>
          <w:szCs w:val="28"/>
        </w:rPr>
      </w:pPr>
      <w:r>
        <w:rPr>
          <w:rFonts w:ascii="宋体" w:eastAsia="黑体" w:hAnsi="宋体" w:cs="宋体" w:hint="eastAsia"/>
          <w:sz w:val="32"/>
          <w:szCs w:val="28"/>
        </w:rPr>
        <w:t>大户报告制度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第三十二条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期货交易实行大户报告制度。</w:t>
      </w:r>
    </w:p>
    <w:p w:rsidR="002605F3" w:rsidRDefault="002605F3" w:rsidP="002605F3">
      <w:pPr>
        <w:tabs>
          <w:tab w:val="num" w:pos="1215"/>
        </w:tabs>
        <w:snapToGrid w:val="0"/>
        <w:spacing w:line="520" w:lineRule="exact"/>
        <w:ind w:firstLineChars="200" w:firstLine="560"/>
        <w:rPr>
          <w:rFonts w:ascii="宋体" w:hAnsi="宋体" w:cs="宋体"/>
          <w:kern w:val="0"/>
          <w:sz w:val="28"/>
          <w:szCs w:val="28"/>
        </w:rPr>
      </w:pPr>
      <w:r>
        <w:rPr>
          <w:rFonts w:ascii="宋体" w:hAnsi="宋体" w:cs="宋体" w:hint="eastAsia"/>
          <w:kern w:val="0"/>
          <w:sz w:val="28"/>
          <w:szCs w:val="28"/>
        </w:rPr>
        <w:t>非期货公司会员或者客户持有某期货合约数量达到交易所对其规定的持仓限量80%以上（含本数）或者交易所要求报告的，应当向交易所报告其资金、持仓等情况。根据市场风险状况，交易所可调整持仓报告水平。客户应当通过期货公司会员报告；委托境外经纪机构</w:t>
      </w:r>
      <w:r>
        <w:rPr>
          <w:rFonts w:ascii="宋体" w:hAnsi="宋体" w:cs="宋体" w:hint="eastAsia"/>
          <w:kern w:val="0"/>
          <w:sz w:val="28"/>
          <w:szCs w:val="28"/>
        </w:rPr>
        <w:lastRenderedPageBreak/>
        <w:t>从事期货交易的客户，应当委托其境外经纪机构报告，境外经纪机构再委托期货公司会员报告。</w:t>
      </w:r>
    </w:p>
    <w:p w:rsidR="002605F3" w:rsidRDefault="002605F3" w:rsidP="002605F3">
      <w:pPr>
        <w:widowControl/>
        <w:spacing w:line="520" w:lineRule="exact"/>
        <w:ind w:firstLineChars="200" w:firstLine="560"/>
        <w:outlineLvl w:val="3"/>
        <w:rPr>
          <w:rFonts w:ascii="宋体" w:hAnsi="宋体" w:cs="宋体"/>
          <w:kern w:val="0"/>
          <w:sz w:val="28"/>
          <w:szCs w:val="28"/>
        </w:rPr>
      </w:pPr>
      <w:r>
        <w:rPr>
          <w:rFonts w:ascii="宋体" w:hAnsi="宋体" w:cs="宋体" w:hint="eastAsia"/>
          <w:kern w:val="0"/>
          <w:sz w:val="28"/>
          <w:szCs w:val="28"/>
        </w:rPr>
        <w:t>非期货公司会员、客户应当保证所提供的大户持仓报告和其他材料的真实性、准确性和完整性。</w:t>
      </w:r>
    </w:p>
    <w:p w:rsidR="002605F3" w:rsidRDefault="002605F3" w:rsidP="002605F3">
      <w:pPr>
        <w:tabs>
          <w:tab w:val="num" w:pos="1215"/>
        </w:tabs>
        <w:snapToGrid w:val="0"/>
        <w:spacing w:line="520" w:lineRule="exact"/>
        <w:ind w:firstLineChars="200" w:firstLine="560"/>
        <w:rPr>
          <w:rFonts w:ascii="宋体" w:hAnsi="宋体" w:cs="宋体"/>
          <w:kern w:val="0"/>
          <w:sz w:val="28"/>
          <w:szCs w:val="28"/>
        </w:rPr>
      </w:pPr>
      <w:r>
        <w:rPr>
          <w:rFonts w:ascii="宋体" w:eastAsia="黑体" w:hAnsi="宋体" w:cs="宋体" w:hint="eastAsia"/>
          <w:kern w:val="0"/>
          <w:sz w:val="28"/>
          <w:szCs w:val="28"/>
        </w:rPr>
        <w:t>第三十三条</w:t>
      </w:r>
      <w:r>
        <w:rPr>
          <w:rFonts w:ascii="宋体" w:eastAsia="黑体" w:hAnsi="宋体" w:cs="宋体" w:hint="eastAsia"/>
          <w:kern w:val="0"/>
          <w:sz w:val="28"/>
          <w:szCs w:val="28"/>
        </w:rPr>
        <w:t xml:space="preserve"> </w:t>
      </w:r>
      <w:r>
        <w:rPr>
          <w:rFonts w:ascii="宋体" w:hAnsi="宋体" w:cs="宋体" w:hint="eastAsia"/>
          <w:kern w:val="0"/>
          <w:sz w:val="28"/>
          <w:szCs w:val="28"/>
        </w:rPr>
        <w:t>交易过程中，非期货公司会员或者客户符合大户报告条件的，应当主动于下一交易日向交易所报告。非期货公司会员或者客户履行首次报告义务后，需再次报告或者补充报告的，交易所通知有关会员。</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第三十四条</w:t>
      </w:r>
      <w:r>
        <w:rPr>
          <w:rFonts w:ascii="宋体" w:eastAsia="黑体" w:hAnsi="宋体" w:cs="宋体" w:hint="eastAsia"/>
          <w:kern w:val="0"/>
          <w:sz w:val="28"/>
          <w:szCs w:val="28"/>
        </w:rPr>
        <w:t xml:space="preserve"> </w:t>
      </w:r>
      <w:r>
        <w:rPr>
          <w:rFonts w:ascii="宋体" w:hAnsi="宋体" w:cs="宋体" w:hint="eastAsia"/>
          <w:kern w:val="0"/>
          <w:sz w:val="28"/>
          <w:szCs w:val="28"/>
        </w:rPr>
        <w:t>符合大户报告条件的非期货公司会员或客户应当向交易所提供下列材料：</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（一）《郑州商品交易所大户报告表》；</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（二）开户资料及当日结算单据；</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（三）交易所要求提供的其他材料。</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第三十五条</w:t>
      </w:r>
      <w:r>
        <w:rPr>
          <w:rFonts w:ascii="宋体" w:eastAsia="黑体" w:hAnsi="宋体" w:cs="宋体" w:hint="eastAsia"/>
          <w:kern w:val="0"/>
          <w:sz w:val="28"/>
          <w:szCs w:val="28"/>
        </w:rPr>
        <w:t xml:space="preserve"> </w:t>
      </w:r>
      <w:r>
        <w:rPr>
          <w:rFonts w:ascii="宋体" w:hAnsi="宋体" w:cs="宋体" w:hint="eastAsia"/>
          <w:kern w:val="0"/>
          <w:sz w:val="28"/>
          <w:szCs w:val="28"/>
        </w:rPr>
        <w:t>期货公司会员、境外经纪机构应当对客户所提供的有关材料进行初审并保证报告材料的真实性和准确性。</w:t>
      </w:r>
    </w:p>
    <w:p w:rsidR="002605F3" w:rsidRDefault="002605F3" w:rsidP="002605F3">
      <w:pPr>
        <w:widowControl/>
        <w:spacing w:line="360" w:lineRule="auto"/>
        <w:jc w:val="center"/>
        <w:outlineLvl w:val="1"/>
        <w:rPr>
          <w:rFonts w:ascii="黑体" w:eastAsia="黑体" w:hAnsi="宋体" w:cs="宋体"/>
          <w:kern w:val="0"/>
          <w:sz w:val="32"/>
          <w:szCs w:val="28"/>
        </w:rPr>
      </w:pPr>
      <w:r>
        <w:rPr>
          <w:rFonts w:ascii="黑体" w:eastAsia="黑体" w:hAnsi="宋体" w:cs="宋体"/>
          <w:noProof/>
          <w:kern w:val="0"/>
          <w:sz w:val="32"/>
          <w:szCs w:val="28"/>
        </w:rPr>
        <w:drawing>
          <wp:inline distT="0" distB="0" distL="0" distR="0">
            <wp:extent cx="38100" cy="38100"/>
            <wp:effectExtent l="0" t="0" r="0" b="0"/>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7"/>
                    <a:srcRect t="-99944" b="99944"/>
                    <a:stretch>
                      <a:fillRect/>
                    </a:stretch>
                  </pic:blipFill>
                  <pic:spPr bwMode="auto">
                    <a:xfrm>
                      <a:off x="0" y="0"/>
                      <a:ext cx="38100" cy="38100"/>
                    </a:xfrm>
                    <a:prstGeom prst="rect">
                      <a:avLst/>
                    </a:prstGeom>
                    <a:noFill/>
                    <a:ln w="9525">
                      <a:noFill/>
                      <a:miter lim="800000"/>
                      <a:headEnd/>
                      <a:tailEnd/>
                    </a:ln>
                  </pic:spPr>
                </pic:pic>
              </a:graphicData>
            </a:graphic>
          </wp:inline>
        </w:drawing>
      </w:r>
      <w:r>
        <w:rPr>
          <w:rFonts w:ascii="宋体" w:eastAsia="黑体" w:hAnsi="宋体" w:cs="宋体" w:hint="eastAsia"/>
          <w:kern w:val="0"/>
          <w:sz w:val="32"/>
          <w:szCs w:val="28"/>
        </w:rPr>
        <w:t>第七章</w:t>
      </w:r>
      <w:r>
        <w:rPr>
          <w:rFonts w:ascii="宋体" w:eastAsia="黑体" w:hAnsi="宋体" w:cs="宋体" w:hint="eastAsia"/>
          <w:kern w:val="0"/>
          <w:sz w:val="32"/>
          <w:szCs w:val="28"/>
        </w:rPr>
        <w:t xml:space="preserve"> </w:t>
      </w:r>
      <w:r>
        <w:rPr>
          <w:rFonts w:ascii="宋体" w:eastAsia="黑体" w:hAnsi="宋体" w:cs="宋体" w:hint="eastAsia"/>
          <w:kern w:val="0"/>
          <w:sz w:val="32"/>
          <w:szCs w:val="28"/>
        </w:rPr>
        <w:t>强行平仓制度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第三十六条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期货交易实行强行平仓制度。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强行平仓是指当会员、客户违反交易所相关业务规定时，交易所对其违规持有的相关期货合约持仓予以平仓的强制措施。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第三十七条</w:t>
      </w:r>
      <w:r>
        <w:rPr>
          <w:rFonts w:ascii="宋体" w:eastAsia="黑体" w:hAnsi="宋体" w:cs="宋体" w:hint="eastAsia"/>
          <w:kern w:val="0"/>
          <w:sz w:val="28"/>
          <w:szCs w:val="28"/>
        </w:rPr>
        <w:t xml:space="preserve"> </w:t>
      </w:r>
      <w:r>
        <w:rPr>
          <w:rFonts w:ascii="宋体" w:hAnsi="宋体" w:cs="宋体" w:hint="eastAsia"/>
          <w:kern w:val="0"/>
          <w:sz w:val="28"/>
          <w:szCs w:val="28"/>
        </w:rPr>
        <w:t>会员或者客户有下列情形之一的，交易所有权进行强行平仓：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（一）结算准备金余额小于零并未能在规定时间内补足的；</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（二）持仓量超出其限仓规定的；</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（三）进入交割月份的自然人持仓；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（四）因违规受到交易所强行平仓处罚的；</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（五）根据交易所的紧急措施应予强行平仓的；</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（六）其他应予强行平仓的。</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第三十八条</w:t>
      </w:r>
      <w:r>
        <w:rPr>
          <w:rFonts w:ascii="宋体" w:eastAsia="黑体" w:hAnsi="宋体" w:cs="宋体" w:hint="eastAsia"/>
          <w:kern w:val="0"/>
          <w:sz w:val="28"/>
          <w:szCs w:val="28"/>
        </w:rPr>
        <w:t xml:space="preserve"> </w:t>
      </w:r>
      <w:r>
        <w:rPr>
          <w:rFonts w:ascii="宋体" w:hAnsi="宋体" w:cs="宋体" w:hint="eastAsia"/>
          <w:kern w:val="0"/>
          <w:sz w:val="28"/>
          <w:szCs w:val="28"/>
        </w:rPr>
        <w:t>强行平仓的原则和程序：</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强行平仓先由会员自行实施，除交易所特别规定的时限外，会员未在10时15分之前平仓完毕的，交易所强制执行。</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由会员自行平仓的，属前条第（一）、（二）、（三）项情形的，由会员自行确定，平仓结果符合交易所规定即可；属前条第（四）、（五）、（六）项情形的，由交易所确定。</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由交易所强行平仓的，按以下程序实施：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（一）交易所按照会员提供的平仓名单进行强行平仓。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会员没有提供平仓名单，属前条第（一）项的，按照上一交易日闭市后期货合约总持仓量由大到小顺序，先选择持仓量大的期货合约作为强行平仓的期货合约，再按照该会员客户该期货合约的净持仓亏损由大到小确定。多个会员均需要强行平仓的，按追加保证金由大到小的顺序，先强平需要追加保证金大的会员。</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（三）属前条第（二）项的，按照超仓量由大到小的顺序，对非期货公司会员或客户进行强行平仓。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（四）会员没有提供平仓名单，属前条第（三）项的，按照上一交易日闭市后自然人期货合约持仓由大到小顺序进行强行平仓。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（五）会员没有提供平仓名单，属前条第（四）、（五）、（六）项的，强行平仓头寸由交易所根据涉及的会员和客户具体情况确定。</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（六）会员同时满足属前条第（一）、（二）、（三）项情况，交易所先按第（二）、（三）项情况确定强行平仓头寸，再按第（一）项情况确定强行平仓头寸。</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由于市场原因无法满足上述原则和程序的，交易所有权择机强行平仓。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第三十九条</w:t>
      </w:r>
      <w:r>
        <w:rPr>
          <w:rFonts w:ascii="宋体" w:eastAsia="黑体" w:hAnsi="宋体" w:cs="宋体" w:hint="eastAsia"/>
          <w:kern w:val="0"/>
          <w:sz w:val="28"/>
          <w:szCs w:val="28"/>
        </w:rPr>
        <w:t xml:space="preserve"> </w:t>
      </w:r>
      <w:r>
        <w:rPr>
          <w:rFonts w:ascii="宋体" w:hAnsi="宋体" w:cs="宋体" w:hint="eastAsia"/>
          <w:kern w:val="0"/>
          <w:sz w:val="28"/>
          <w:szCs w:val="28"/>
        </w:rPr>
        <w:t>交易所实施强行平仓，应当通知会员，会员应当通知客户。</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属第三十七条第（一）、（二）、（三）项情况的，以交易所提供的结算结果为通知依据；属第三十七条第（四）、（五）、（六）项情况的，交易所向有关会员下达《强行平仓通知书》。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第四十条</w:t>
      </w:r>
      <w:r>
        <w:rPr>
          <w:rFonts w:ascii="宋体" w:eastAsia="黑体" w:hAnsi="宋体" w:cs="宋体" w:hint="eastAsia"/>
          <w:kern w:val="0"/>
          <w:sz w:val="28"/>
          <w:szCs w:val="28"/>
        </w:rPr>
        <w:t xml:space="preserve"> </w:t>
      </w:r>
      <w:r>
        <w:rPr>
          <w:rFonts w:ascii="宋体" w:hAnsi="宋体" w:cs="宋体" w:hint="eastAsia"/>
          <w:kern w:val="0"/>
          <w:sz w:val="28"/>
          <w:szCs w:val="28"/>
        </w:rPr>
        <w:t>会员未在规定时间内自行平仓完毕的，剩余部分由交易所按第三十八条所确定的原则以市场价对会员直接执行强行平仓。</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交易所强行平仓完毕后，应当将强行平仓结果随当日成交记录向会员发送，并将强行平仓记录予以存档。</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强行平仓的价格通过市场交易形成。</w:t>
      </w:r>
    </w:p>
    <w:p w:rsidR="002605F3" w:rsidRDefault="002605F3" w:rsidP="002605F3">
      <w:pPr>
        <w:tabs>
          <w:tab w:val="num" w:pos="1215"/>
        </w:tabs>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第四十一条</w:t>
      </w:r>
      <w:r>
        <w:rPr>
          <w:rFonts w:ascii="宋体" w:eastAsia="黑体" w:hAnsi="宋体" w:cs="宋体" w:hint="eastAsia"/>
          <w:kern w:val="0"/>
          <w:sz w:val="28"/>
          <w:szCs w:val="28"/>
        </w:rPr>
        <w:t xml:space="preserve"> </w:t>
      </w:r>
      <w:r>
        <w:rPr>
          <w:rFonts w:ascii="宋体" w:hAnsi="宋体" w:cs="宋体" w:hint="eastAsia"/>
          <w:kern w:val="0"/>
          <w:sz w:val="28"/>
          <w:szCs w:val="28"/>
        </w:rPr>
        <w:t>由于涨跌停板或者其他市场原因无法在当日完成全部强行平仓的，剩余持仓可以顺延至下一交易日继续执行强行平仓，直至平仓完毕。</w:t>
      </w:r>
    </w:p>
    <w:p w:rsidR="002605F3" w:rsidRDefault="002605F3" w:rsidP="002605F3">
      <w:pPr>
        <w:tabs>
          <w:tab w:val="num" w:pos="1215"/>
        </w:tabs>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第四十二条</w:t>
      </w:r>
      <w:r>
        <w:rPr>
          <w:rFonts w:ascii="宋体" w:eastAsia="黑体" w:hAnsi="宋体" w:cs="宋体" w:hint="eastAsia"/>
          <w:kern w:val="0"/>
          <w:sz w:val="28"/>
          <w:szCs w:val="28"/>
        </w:rPr>
        <w:t xml:space="preserve"> </w:t>
      </w:r>
      <w:r>
        <w:rPr>
          <w:rFonts w:ascii="宋体" w:hAnsi="宋体" w:cs="宋体" w:hint="eastAsia"/>
          <w:kern w:val="0"/>
          <w:sz w:val="28"/>
          <w:szCs w:val="28"/>
        </w:rPr>
        <w:t>由于涨跌停板或者其他市场原因有关持仓的强行平仓只能延时完成的，因此发生的亏损仍由会员或者客户承担；未能完成平仓的，该持仓持有者须继续对此承担持仓责任或者交割义务。</w:t>
      </w:r>
    </w:p>
    <w:p w:rsidR="002605F3" w:rsidRDefault="002605F3" w:rsidP="002605F3">
      <w:pPr>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lastRenderedPageBreak/>
        <w:t>第四十三条</w:t>
      </w:r>
      <w:r>
        <w:rPr>
          <w:rFonts w:ascii="宋体" w:eastAsia="黑体" w:hAnsi="宋体" w:cs="宋体" w:hint="eastAsia"/>
          <w:kern w:val="0"/>
          <w:sz w:val="28"/>
          <w:szCs w:val="28"/>
        </w:rPr>
        <w:t xml:space="preserve"> </w:t>
      </w:r>
      <w:r>
        <w:rPr>
          <w:rFonts w:ascii="宋体" w:hAnsi="宋体" w:cs="宋体" w:hint="eastAsia"/>
          <w:kern w:val="0"/>
          <w:sz w:val="28"/>
          <w:szCs w:val="28"/>
        </w:rPr>
        <w:t>除第三十七条第（四）项外，强行平仓产生的盈利或者亏损均归持仓人。持仓人是客户的，强行平仓发生的亏损，客户所在会员先行承担后，自行向该客户追偿；持仓人是境外经纪机构客户的，境外经纪机构应辅助其委托交易结算的期货公司会员强行平仓，强行平仓后发生的亏损，由为该境外经纪机构交易结算的期货公司会员先行承担后，自行向该境外经纪机构追索；境外经纪机构承担损失后，自行向该客户追索。</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本办法第三十七条第（四）项实施的强行平仓，亏损由持仓人承担，盈利按国家有关规定执行。</w:t>
      </w:r>
    </w:p>
    <w:p w:rsidR="002605F3" w:rsidRDefault="002605F3" w:rsidP="002605F3">
      <w:pPr>
        <w:widowControl/>
        <w:spacing w:line="360" w:lineRule="auto"/>
        <w:jc w:val="center"/>
        <w:outlineLvl w:val="1"/>
        <w:rPr>
          <w:rFonts w:ascii="宋体" w:eastAsia="黑体" w:hAnsi="宋体" w:cs="宋体"/>
          <w:kern w:val="0"/>
          <w:sz w:val="32"/>
          <w:szCs w:val="28"/>
        </w:rPr>
      </w:pPr>
      <w:r>
        <w:rPr>
          <w:rFonts w:ascii="宋体" w:eastAsia="黑体" w:hAnsi="宋体" w:cs="宋体" w:hint="eastAsia"/>
          <w:kern w:val="0"/>
          <w:sz w:val="32"/>
          <w:szCs w:val="28"/>
        </w:rPr>
        <w:t>第八章</w:t>
      </w:r>
      <w:r>
        <w:rPr>
          <w:rFonts w:ascii="宋体" w:eastAsia="黑体" w:hAnsi="宋体" w:cs="宋体" w:hint="eastAsia"/>
          <w:kern w:val="0"/>
          <w:sz w:val="32"/>
          <w:szCs w:val="28"/>
        </w:rPr>
        <w:t xml:space="preserve"> </w:t>
      </w:r>
      <w:r>
        <w:rPr>
          <w:rFonts w:ascii="宋体" w:eastAsia="黑体" w:hAnsi="宋体" w:cs="宋体" w:hint="eastAsia"/>
          <w:kern w:val="0"/>
          <w:sz w:val="32"/>
          <w:szCs w:val="28"/>
        </w:rPr>
        <w:t>异常情况处理</w:t>
      </w:r>
    </w:p>
    <w:p w:rsidR="002605F3" w:rsidRDefault="002605F3" w:rsidP="002605F3">
      <w:pPr>
        <w:ind w:firstLineChars="200" w:firstLine="560"/>
        <w:rPr>
          <w:rFonts w:ascii="宋体" w:hAnsi="宋体" w:cs="宋体"/>
          <w:kern w:val="0"/>
          <w:sz w:val="28"/>
          <w:szCs w:val="28"/>
        </w:rPr>
      </w:pPr>
      <w:r>
        <w:rPr>
          <w:rFonts w:ascii="宋体" w:eastAsia="黑体" w:hAnsi="宋体" w:cs="宋体" w:hint="eastAsia"/>
          <w:kern w:val="0"/>
          <w:sz w:val="28"/>
          <w:szCs w:val="28"/>
        </w:rPr>
        <w:t>第四十四条</w:t>
      </w:r>
      <w:r>
        <w:rPr>
          <w:rFonts w:ascii="宋体" w:hAnsi="宋体" w:cs="宋体" w:hint="eastAsia"/>
          <w:kern w:val="0"/>
          <w:sz w:val="28"/>
          <w:szCs w:val="28"/>
        </w:rPr>
        <w:t xml:space="preserve"> 期货交易过程中，出现以下情形之一的，交易所采取紧急措施化解风险，并可以宣布进入异常情况：</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（一）地震、水灾、火灾等不可抗力或者计算机系统故障、意外事件等原因导致交易、结算、交割、行权与履约等业务无法正常进行；</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（二）出现结算、交割、行权与履约危机，对市场正在产生或者将产生重大影响；</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（三）期货价格出现同方向连续涨跌停板，有根据认为会员、境外经纪机构或者客户违反交易所交易规则及其实施细则并且对市场正在产生或者即将产生重大影响；</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（四）交易所规定的其他情形。</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出现第一款第一项情形时，交易所总经理可以采取调整开市收市时间，暂停交易，调整交易时间，暂停挂牌新合约，调整相关合约最后交易日、到期日、最后交割日等日期，调整标准仓单和交割相关业</w:t>
      </w:r>
      <w:r>
        <w:rPr>
          <w:rFonts w:ascii="宋体" w:hAnsi="宋体" w:cs="宋体" w:hint="eastAsia"/>
          <w:kern w:val="0"/>
          <w:sz w:val="28"/>
          <w:szCs w:val="28"/>
        </w:rPr>
        <w:lastRenderedPageBreak/>
        <w:t>务，调整期权行权、履约及相关对冲业务，调整资产作为保证金业务，取消未办理的相关业务申请，调整强行平仓实施时间，调整保证金收取标准或者方式、涨跌停板幅度，调整合约结算价、交割结算价，调整相关费用收取标准及结算时间，调整结算数据发送方式等紧急措施；出现第一款第一项情形且相关交易指令、成交数据错误、丢失无法恢复的，交易所总经理可以决定取消未成交的交易指令，理事会可以决定取消交易。</w:t>
      </w:r>
    </w:p>
    <w:p w:rsidR="002605F3" w:rsidRDefault="002605F3" w:rsidP="002605F3">
      <w:pPr>
        <w:ind w:firstLineChars="200" w:firstLine="560"/>
        <w:rPr>
          <w:rFonts w:ascii="宋体" w:hAnsi="宋体" w:cs="宋体"/>
          <w:kern w:val="0"/>
          <w:sz w:val="28"/>
          <w:szCs w:val="28"/>
        </w:rPr>
      </w:pPr>
      <w:r>
        <w:rPr>
          <w:rFonts w:ascii="宋体" w:hAnsi="宋体" w:cs="宋体" w:hint="eastAsia"/>
          <w:kern w:val="0"/>
          <w:sz w:val="28"/>
          <w:szCs w:val="28"/>
        </w:rPr>
        <w:t>出现第一款第二、三、四项异常情况时，理事会可以决定采取调整开市收市时间、暂停交易、调整涨跌停板幅度、提高交易保证金、暂停开仓、限期平仓、强行平仓、限制出金、强制减仓等紧急措施。</w:t>
      </w:r>
    </w:p>
    <w:p w:rsidR="002605F3" w:rsidRDefault="002605F3" w:rsidP="002605F3">
      <w:pPr>
        <w:ind w:firstLineChars="200" w:firstLine="560"/>
        <w:rPr>
          <w:rFonts w:ascii="宋体" w:hAnsi="宋体" w:cs="宋体"/>
          <w:kern w:val="0"/>
          <w:sz w:val="28"/>
          <w:szCs w:val="28"/>
        </w:rPr>
      </w:pPr>
      <w:r>
        <w:rPr>
          <w:rFonts w:ascii="宋体" w:eastAsia="黑体" w:hAnsi="宋体" w:cs="宋体" w:hint="eastAsia"/>
          <w:kern w:val="0"/>
          <w:sz w:val="28"/>
          <w:szCs w:val="28"/>
        </w:rPr>
        <w:t>第四十五条</w:t>
      </w:r>
      <w:r>
        <w:rPr>
          <w:rFonts w:ascii="宋体" w:hAnsi="宋体" w:cs="宋体" w:hint="eastAsia"/>
          <w:kern w:val="0"/>
          <w:sz w:val="28"/>
          <w:szCs w:val="28"/>
        </w:rPr>
        <w:t xml:space="preserve"> 交易所宣布异常情况、采取紧急措施前应当报告中国证监会。</w:t>
      </w:r>
    </w:p>
    <w:p w:rsidR="002605F3" w:rsidRDefault="002605F3" w:rsidP="002605F3">
      <w:pPr>
        <w:ind w:firstLineChars="200" w:firstLine="560"/>
        <w:rPr>
          <w:rFonts w:ascii="宋体" w:hAnsi="宋体" w:cs="宋体"/>
          <w:kern w:val="0"/>
          <w:sz w:val="28"/>
          <w:szCs w:val="28"/>
        </w:rPr>
      </w:pPr>
      <w:r>
        <w:rPr>
          <w:rFonts w:ascii="宋体" w:eastAsia="黑体" w:hAnsi="宋体" w:cs="宋体" w:hint="eastAsia"/>
          <w:kern w:val="0"/>
          <w:sz w:val="28"/>
          <w:szCs w:val="28"/>
        </w:rPr>
        <w:t>第四十六条</w:t>
      </w:r>
      <w:r>
        <w:rPr>
          <w:rFonts w:ascii="宋体" w:hAnsi="宋体" w:cs="宋体" w:hint="eastAsia"/>
          <w:kern w:val="0"/>
          <w:sz w:val="28"/>
          <w:szCs w:val="28"/>
        </w:rPr>
        <w:t xml:space="preserve"> 交易所宣布进入异常情况并决定暂停交易时，暂停交易的期限不得超过3个交易日，但经中国证监会批准延长的除外。</w:t>
      </w:r>
    </w:p>
    <w:p w:rsidR="002605F3" w:rsidRDefault="002605F3" w:rsidP="002605F3">
      <w:pPr>
        <w:widowControl/>
        <w:spacing w:line="360" w:lineRule="auto"/>
        <w:jc w:val="center"/>
        <w:outlineLvl w:val="1"/>
        <w:rPr>
          <w:rFonts w:ascii="宋体" w:eastAsia="黑体" w:hAnsi="宋体" w:cs="宋体"/>
          <w:kern w:val="0"/>
          <w:sz w:val="32"/>
          <w:szCs w:val="28"/>
        </w:rPr>
      </w:pPr>
      <w:r>
        <w:rPr>
          <w:rFonts w:ascii="宋体" w:eastAsia="黑体" w:hAnsi="宋体" w:cs="宋体" w:hint="eastAsia"/>
          <w:kern w:val="0"/>
          <w:sz w:val="32"/>
          <w:szCs w:val="28"/>
        </w:rPr>
        <w:t>第九章</w:t>
      </w:r>
      <w:r>
        <w:rPr>
          <w:rFonts w:ascii="宋体" w:eastAsia="黑体" w:hAnsi="宋体" w:cs="宋体" w:hint="eastAsia"/>
          <w:kern w:val="0"/>
          <w:sz w:val="32"/>
          <w:szCs w:val="28"/>
        </w:rPr>
        <w:t xml:space="preserve"> </w:t>
      </w:r>
      <w:r>
        <w:rPr>
          <w:rFonts w:ascii="宋体" w:eastAsia="黑体" w:hAnsi="宋体" w:cs="宋体" w:hint="eastAsia"/>
          <w:kern w:val="0"/>
          <w:sz w:val="32"/>
          <w:szCs w:val="28"/>
        </w:rPr>
        <w:t>风险警示制度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第四十七条</w:t>
      </w:r>
      <w:r>
        <w:rPr>
          <w:rFonts w:ascii="宋体" w:eastAsia="黑体" w:hAnsi="宋体" w:cs="宋体" w:hint="eastAsia"/>
          <w:kern w:val="0"/>
          <w:sz w:val="28"/>
          <w:szCs w:val="28"/>
        </w:rPr>
        <w:t xml:space="preserve"> </w:t>
      </w:r>
      <w:r>
        <w:rPr>
          <w:rFonts w:ascii="宋体" w:hAnsi="宋体" w:cs="宋体" w:hint="eastAsia"/>
          <w:kern w:val="0"/>
          <w:sz w:val="28"/>
          <w:szCs w:val="28"/>
        </w:rPr>
        <w:t>期货交易实行风险警示制度。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交易所认为必要时，可以分别或者同时采取要求报告情况、谈话提醒、发布风险提示函等措施，以警示和化解风险。</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第四十八条</w:t>
      </w:r>
      <w:r>
        <w:rPr>
          <w:rFonts w:ascii="宋体" w:eastAsia="黑体" w:hAnsi="宋体" w:cs="宋体" w:hint="eastAsia"/>
          <w:kern w:val="0"/>
          <w:sz w:val="28"/>
          <w:szCs w:val="28"/>
        </w:rPr>
        <w:t xml:space="preserve"> </w:t>
      </w:r>
      <w:r>
        <w:rPr>
          <w:rFonts w:ascii="宋体" w:hAnsi="宋体" w:cs="宋体" w:hint="eastAsia"/>
          <w:kern w:val="0"/>
          <w:sz w:val="28"/>
          <w:szCs w:val="28"/>
        </w:rPr>
        <w:t>出现下列情形之一的，交易所可以对指定的会员、境外经纪机构高管人员或者客户谈话提醒风险，或者要求会员、境外经纪机构、客户报告情况：</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（一）合约价格出现异常波动；</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（二）会员、境外经纪机构或者客户交易异常；</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（三）会员、境外经纪机构或者客户持仓异常；</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（四）会员资金异常；</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（五）会员、境外经纪机构或者客户涉嫌违规、违约；</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（六）交易所接到涉及会员、境外经纪机构或者客户的投诉；</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（七）会员、境外经纪机构涉及执法调查；</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（八）交易所认定的其他情况。</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交易所通过电话提醒的，应当保留电话录音；通过视频谈话的，应当保留视频录像；通过当面谈话的，应当保存谈话记录。</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交易所实施谈话提醒的，会员、境外经纪机构或者客户应当按照交易所要求的时间、地点和方式认真履行。</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交易所要求会员、境外经纪机构或者客户报告情况的，会员、境外经纪机构或者客户应当按照交易所要求的时间、内容和方式如实报告。</w:t>
      </w:r>
    </w:p>
    <w:p w:rsidR="002605F3" w:rsidRDefault="002605F3" w:rsidP="002605F3">
      <w:pPr>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第四十九条</w:t>
      </w:r>
      <w:r>
        <w:rPr>
          <w:rFonts w:ascii="宋体" w:eastAsia="黑体" w:hAnsi="宋体" w:cs="宋体" w:hint="eastAsia"/>
          <w:kern w:val="0"/>
          <w:sz w:val="28"/>
          <w:szCs w:val="28"/>
        </w:rPr>
        <w:t xml:space="preserve"> </w:t>
      </w:r>
      <w:r>
        <w:rPr>
          <w:rFonts w:ascii="宋体" w:hAnsi="宋体" w:cs="宋体" w:hint="eastAsia"/>
          <w:kern w:val="0"/>
          <w:sz w:val="28"/>
          <w:szCs w:val="28"/>
        </w:rPr>
        <w:t>会员、境外经纪机构或者客户有违规嫌疑、交易头寸有较大风险的，交易所可以对会员、境外经纪机构或者客户发出书面的风险提示函。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第五十条</w:t>
      </w:r>
      <w:r>
        <w:rPr>
          <w:rFonts w:ascii="宋体" w:eastAsia="黑体" w:hAnsi="宋体" w:cs="宋体" w:hint="eastAsia"/>
          <w:kern w:val="0"/>
          <w:sz w:val="28"/>
          <w:szCs w:val="28"/>
        </w:rPr>
        <w:t xml:space="preserve"> </w:t>
      </w:r>
      <w:r>
        <w:rPr>
          <w:rFonts w:ascii="宋体" w:hAnsi="宋体" w:cs="宋体" w:hint="eastAsia"/>
          <w:kern w:val="0"/>
          <w:sz w:val="28"/>
          <w:szCs w:val="28"/>
        </w:rPr>
        <w:t>发生下列情形之一的，交易所可以向全体或者部分会员、境外经纪机构和客户发出风险提示函：</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（一）期货价格出现异常；</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（二）期货价格和现货价格出现较大差距；</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（三）国内期货价格和国际市场价格出现较大差距；</w:t>
      </w:r>
    </w:p>
    <w:p w:rsidR="002605F3" w:rsidRDefault="002605F3" w:rsidP="002605F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lastRenderedPageBreak/>
        <w:t>（四）交易所认定的其他异常情况。</w:t>
      </w:r>
    </w:p>
    <w:p w:rsidR="002605F3" w:rsidRDefault="002605F3" w:rsidP="002605F3">
      <w:pPr>
        <w:widowControl/>
        <w:spacing w:line="360" w:lineRule="auto"/>
        <w:jc w:val="center"/>
        <w:outlineLvl w:val="1"/>
        <w:rPr>
          <w:rFonts w:ascii="宋体" w:eastAsia="黑体" w:hAnsi="宋体" w:cs="宋体"/>
          <w:kern w:val="0"/>
          <w:sz w:val="32"/>
          <w:szCs w:val="28"/>
        </w:rPr>
      </w:pPr>
      <w:bookmarkStart w:id="4" w:name="_Toc392878614"/>
      <w:r>
        <w:rPr>
          <w:rFonts w:ascii="宋体" w:eastAsia="黑体" w:hAnsi="宋体" w:cs="宋体" w:hint="eastAsia"/>
          <w:kern w:val="0"/>
          <w:sz w:val="32"/>
          <w:szCs w:val="28"/>
        </w:rPr>
        <w:t>第十章</w:t>
      </w:r>
      <w:r>
        <w:rPr>
          <w:rFonts w:ascii="宋体" w:eastAsia="黑体" w:hAnsi="宋体" w:cs="宋体" w:hint="eastAsia"/>
          <w:kern w:val="0"/>
          <w:sz w:val="32"/>
          <w:szCs w:val="28"/>
        </w:rPr>
        <w:t xml:space="preserve"> </w:t>
      </w:r>
      <w:r>
        <w:rPr>
          <w:rFonts w:ascii="宋体" w:eastAsia="黑体" w:hAnsi="宋体" w:cs="宋体" w:hint="eastAsia"/>
          <w:kern w:val="0"/>
          <w:sz w:val="32"/>
          <w:szCs w:val="28"/>
        </w:rPr>
        <w:t>附则</w:t>
      </w:r>
      <w:bookmarkEnd w:id="4"/>
    </w:p>
    <w:p w:rsidR="002605F3" w:rsidRDefault="002605F3" w:rsidP="002605F3">
      <w:pPr>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第五十一条</w:t>
      </w:r>
      <w:r>
        <w:rPr>
          <w:rFonts w:ascii="宋体" w:eastAsia="黑体" w:hAnsi="宋体" w:cs="宋体" w:hint="eastAsia"/>
          <w:kern w:val="0"/>
          <w:sz w:val="28"/>
          <w:szCs w:val="28"/>
        </w:rPr>
        <w:t xml:space="preserve"> </w:t>
      </w:r>
      <w:r>
        <w:rPr>
          <w:rFonts w:ascii="宋体" w:hAnsi="宋体" w:cs="宋体" w:hint="eastAsia"/>
          <w:kern w:val="0"/>
          <w:sz w:val="28"/>
          <w:szCs w:val="28"/>
        </w:rPr>
        <w:t>违反本办法规定的，交易所按《郑州商品交易所违规处理办法》有关规定处理。</w:t>
      </w:r>
    </w:p>
    <w:p w:rsidR="002605F3" w:rsidRDefault="002605F3" w:rsidP="002605F3">
      <w:pPr>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第五十二条</w:t>
      </w:r>
      <w:r>
        <w:rPr>
          <w:rFonts w:ascii="宋体" w:eastAsia="黑体" w:hAnsi="宋体" w:cs="宋体" w:hint="eastAsia"/>
          <w:kern w:val="0"/>
          <w:sz w:val="28"/>
          <w:szCs w:val="28"/>
        </w:rPr>
        <w:t xml:space="preserve"> </w:t>
      </w:r>
      <w:r>
        <w:rPr>
          <w:rFonts w:ascii="宋体" w:hAnsi="宋体" w:cs="宋体" w:hint="eastAsia"/>
          <w:kern w:val="0"/>
          <w:sz w:val="28"/>
          <w:szCs w:val="28"/>
        </w:rPr>
        <w:t>有关夜盘交易相关的风险控制业务，《郑州商品交易所夜盘交易细则》有特殊规定的，从其规定。</w:t>
      </w:r>
    </w:p>
    <w:p w:rsidR="002605F3" w:rsidRDefault="002605F3" w:rsidP="002605F3">
      <w:pPr>
        <w:tabs>
          <w:tab w:val="num" w:pos="1215"/>
          <w:tab w:val="left" w:pos="2310"/>
        </w:tabs>
        <w:adjustRightInd w:val="0"/>
        <w:snapToGrid w:val="0"/>
        <w:spacing w:line="360" w:lineRule="auto"/>
        <w:ind w:firstLineChars="200" w:firstLine="560"/>
        <w:rPr>
          <w:rFonts w:ascii="宋体" w:hAnsi="宋体" w:cs="宋体"/>
          <w:kern w:val="0"/>
          <w:sz w:val="28"/>
          <w:szCs w:val="28"/>
        </w:rPr>
      </w:pPr>
      <w:r>
        <w:rPr>
          <w:rFonts w:ascii="宋体" w:eastAsia="黑体" w:hAnsi="宋体" w:cs="宋体" w:hint="eastAsia"/>
          <w:kern w:val="0"/>
          <w:sz w:val="28"/>
          <w:szCs w:val="28"/>
        </w:rPr>
        <w:t>第五十三条</w:t>
      </w:r>
      <w:r>
        <w:rPr>
          <w:rFonts w:ascii="宋体" w:eastAsia="黑体" w:hAnsi="宋体" w:cs="宋体" w:hint="eastAsia"/>
          <w:kern w:val="0"/>
          <w:sz w:val="28"/>
          <w:szCs w:val="28"/>
        </w:rPr>
        <w:t xml:space="preserve"> </w:t>
      </w:r>
      <w:r>
        <w:rPr>
          <w:rFonts w:ascii="宋体" w:hAnsi="宋体" w:cs="宋体" w:hint="eastAsia"/>
          <w:kern w:val="0"/>
          <w:sz w:val="28"/>
          <w:szCs w:val="28"/>
        </w:rPr>
        <w:t>本办法解释权属郑州商品交易所。</w:t>
      </w:r>
    </w:p>
    <w:p w:rsidR="002605F3" w:rsidRDefault="002605F3" w:rsidP="002605F3">
      <w:pPr>
        <w:spacing w:line="360" w:lineRule="auto"/>
        <w:ind w:right="57" w:firstLineChars="200" w:firstLine="560"/>
        <w:rPr>
          <w:rFonts w:ascii="宋体"/>
          <w:sz w:val="28"/>
          <w:szCs w:val="28"/>
        </w:rPr>
      </w:pPr>
      <w:r>
        <w:rPr>
          <w:rFonts w:ascii="宋体" w:eastAsia="黑体" w:hAnsi="宋体" w:cs="宋体" w:hint="eastAsia"/>
          <w:kern w:val="0"/>
          <w:sz w:val="28"/>
          <w:szCs w:val="28"/>
        </w:rPr>
        <w:t>第五十四条</w:t>
      </w:r>
      <w:r>
        <w:rPr>
          <w:rFonts w:ascii="宋体" w:eastAsia="黑体" w:hAnsi="宋体" w:cs="宋体" w:hint="eastAsia"/>
          <w:kern w:val="0"/>
          <w:sz w:val="28"/>
          <w:szCs w:val="28"/>
        </w:rPr>
        <w:t xml:space="preserve"> </w:t>
      </w:r>
      <w:r>
        <w:rPr>
          <w:rFonts w:ascii="宋体" w:hAnsi="宋体" w:cs="宋体" w:hint="eastAsia"/>
          <w:sz w:val="28"/>
          <w:szCs w:val="28"/>
        </w:rPr>
        <w:t>本办法自</w:t>
      </w:r>
      <w:r w:rsidRPr="00552324">
        <w:rPr>
          <w:rFonts w:ascii="宋体" w:hAnsi="宋体" w:cs="宋体"/>
          <w:kern w:val="0"/>
          <w:sz w:val="28"/>
          <w:szCs w:val="28"/>
        </w:rPr>
        <w:t>2021年11月25</w:t>
      </w:r>
      <w:r w:rsidRPr="00552324">
        <w:rPr>
          <w:rFonts w:ascii="宋体" w:hAnsi="宋体" w:cs="宋体" w:hint="eastAsia"/>
          <w:kern w:val="0"/>
          <w:sz w:val="28"/>
          <w:szCs w:val="28"/>
        </w:rPr>
        <w:t>日</w:t>
      </w:r>
      <w:r>
        <w:rPr>
          <w:rFonts w:ascii="宋体" w:hAnsi="宋体" w:cs="宋体" w:hint="eastAsia"/>
          <w:kern w:val="0"/>
          <w:sz w:val="28"/>
          <w:szCs w:val="28"/>
        </w:rPr>
        <w:t>起施行。</w:t>
      </w:r>
    </w:p>
    <w:p w:rsidR="00275F8A" w:rsidRPr="002605F3" w:rsidRDefault="00275F8A"/>
    <w:sectPr w:rsidR="00275F8A" w:rsidRPr="002605F3" w:rsidSect="00275F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F56" w:rsidRDefault="00E31F56" w:rsidP="002605F3">
      <w:r>
        <w:separator/>
      </w:r>
    </w:p>
  </w:endnote>
  <w:endnote w:type="continuationSeparator" w:id="1">
    <w:p w:rsidR="00E31F56" w:rsidRDefault="00E31F56" w:rsidP="00260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F56" w:rsidRDefault="00E31F56" w:rsidP="002605F3">
      <w:r>
        <w:separator/>
      </w:r>
    </w:p>
  </w:footnote>
  <w:footnote w:type="continuationSeparator" w:id="1">
    <w:p w:rsidR="00E31F56" w:rsidRDefault="00E31F56" w:rsidP="002605F3">
      <w:r>
        <w:continuationSeparator/>
      </w:r>
    </w:p>
  </w:footnote>
  <w:footnote w:id="2">
    <w:p w:rsidR="002605F3" w:rsidRDefault="002605F3" w:rsidP="002605F3">
      <w:pPr>
        <w:pStyle w:val="a3"/>
      </w:pPr>
      <w:r>
        <w:rPr>
          <w:rStyle w:val="a5"/>
        </w:rPr>
        <w:footnoteRef/>
      </w:r>
      <w:r>
        <w:rPr>
          <w:rFonts w:cs="宋体" w:hint="eastAsia"/>
        </w:rPr>
        <w:t>各品种中，普通小麦简称“普麦”，优质强筋小麦简称“强麦”，精对苯二甲酸统称“</w:t>
      </w:r>
      <w:r>
        <w:t>PTA</w:t>
      </w:r>
      <w:r>
        <w:rPr>
          <w:rFonts w:hint="eastAsia"/>
        </w:rPr>
        <w:t>”</w:t>
      </w:r>
      <w:r>
        <w:rPr>
          <w:rFonts w:cs="宋体" w:hint="eastAsia"/>
        </w:rPr>
        <w:t>，菜籽油简称“菜油”，油菜籽简称“菜籽”，菜籽粕简称“菜粕”，鲜苹果简称</w:t>
      </w:r>
      <w:r>
        <w:rPr>
          <w:rFonts w:cs="宋体"/>
        </w:rPr>
        <w:t>“</w:t>
      </w:r>
      <w:r>
        <w:rPr>
          <w:rFonts w:cs="宋体" w:hint="eastAsia"/>
        </w:rPr>
        <w:t>苹果</w:t>
      </w:r>
      <w:r>
        <w:rPr>
          <w:rFonts w:cs="宋体"/>
        </w:rPr>
        <w:t>”</w:t>
      </w:r>
      <w:r>
        <w:rPr>
          <w:rFonts w:cs="宋体" w:hint="eastAsia"/>
        </w:rPr>
        <w:t>，干制红枣简称“红枣”，涤纶短纤简称“短纤”，花生仁简称“花生”。</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D09D9"/>
    <w:multiLevelType w:val="hybridMultilevel"/>
    <w:tmpl w:val="06EABE78"/>
    <w:lvl w:ilvl="0" w:tplc="C95A31AC">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5F3"/>
    <w:rsid w:val="002605F3"/>
    <w:rsid w:val="00275F8A"/>
    <w:rsid w:val="00E31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5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1"/>
    <w:uiPriority w:val="99"/>
    <w:semiHidden/>
    <w:unhideWhenUsed/>
    <w:rsid w:val="002605F3"/>
    <w:pPr>
      <w:snapToGrid w:val="0"/>
      <w:jc w:val="left"/>
    </w:pPr>
    <w:rPr>
      <w:kern w:val="0"/>
      <w:sz w:val="18"/>
      <w:szCs w:val="18"/>
    </w:rPr>
  </w:style>
  <w:style w:type="character" w:customStyle="1" w:styleId="Char">
    <w:name w:val="脚注文本 Char"/>
    <w:basedOn w:val="a0"/>
    <w:link w:val="a3"/>
    <w:uiPriority w:val="99"/>
    <w:semiHidden/>
    <w:rsid w:val="002605F3"/>
    <w:rPr>
      <w:rFonts w:ascii="Times New Roman" w:eastAsia="宋体" w:hAnsi="Times New Roman" w:cs="Times New Roman"/>
      <w:sz w:val="18"/>
      <w:szCs w:val="18"/>
    </w:rPr>
  </w:style>
  <w:style w:type="character" w:customStyle="1" w:styleId="Char0">
    <w:name w:val="列出段落 Char"/>
    <w:link w:val="a4"/>
    <w:uiPriority w:val="34"/>
    <w:locked/>
    <w:rsid w:val="002605F3"/>
    <w:rPr>
      <w:rFonts w:ascii="Calibri" w:eastAsia="宋体" w:hAnsi="Calibri" w:cs="Times New Roman"/>
    </w:rPr>
  </w:style>
  <w:style w:type="paragraph" w:styleId="a4">
    <w:name w:val="List Paragraph"/>
    <w:basedOn w:val="a"/>
    <w:link w:val="Char0"/>
    <w:uiPriority w:val="34"/>
    <w:qFormat/>
    <w:rsid w:val="002605F3"/>
    <w:pPr>
      <w:ind w:firstLineChars="200" w:firstLine="420"/>
    </w:pPr>
    <w:rPr>
      <w:rFonts w:ascii="Calibri" w:hAnsi="Calibri"/>
      <w:szCs w:val="22"/>
    </w:rPr>
  </w:style>
  <w:style w:type="character" w:styleId="a5">
    <w:name w:val="footnote reference"/>
    <w:semiHidden/>
    <w:unhideWhenUsed/>
    <w:rsid w:val="002605F3"/>
    <w:rPr>
      <w:vertAlign w:val="superscript"/>
    </w:rPr>
  </w:style>
  <w:style w:type="character" w:customStyle="1" w:styleId="Char1">
    <w:name w:val="脚注文本 Char1"/>
    <w:basedOn w:val="a0"/>
    <w:link w:val="a3"/>
    <w:uiPriority w:val="99"/>
    <w:semiHidden/>
    <w:locked/>
    <w:rsid w:val="002605F3"/>
    <w:rPr>
      <w:rFonts w:ascii="Times New Roman" w:eastAsia="宋体" w:hAnsi="Times New Roman" w:cs="Times New Roman"/>
      <w:kern w:val="0"/>
      <w:sz w:val="18"/>
      <w:szCs w:val="18"/>
    </w:rPr>
  </w:style>
  <w:style w:type="paragraph" w:styleId="a6">
    <w:name w:val="Balloon Text"/>
    <w:basedOn w:val="a"/>
    <w:link w:val="Char2"/>
    <w:uiPriority w:val="99"/>
    <w:semiHidden/>
    <w:unhideWhenUsed/>
    <w:rsid w:val="002605F3"/>
    <w:rPr>
      <w:sz w:val="18"/>
      <w:szCs w:val="18"/>
    </w:rPr>
  </w:style>
  <w:style w:type="character" w:customStyle="1" w:styleId="Char2">
    <w:name w:val="批注框文本 Char"/>
    <w:basedOn w:val="a0"/>
    <w:link w:val="a6"/>
    <w:uiPriority w:val="99"/>
    <w:semiHidden/>
    <w:rsid w:val="002605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4795</Words>
  <Characters>5275</Characters>
  <Application>Microsoft Office Word</Application>
  <DocSecurity>0</DocSecurity>
  <Lines>439</Lines>
  <Paragraphs>335</Paragraphs>
  <ScaleCrop>false</ScaleCrop>
  <Company>Lenovo</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2021-11-24T08:01:00Z</dcterms:created>
  <dcterms:modified xsi:type="dcterms:W3CDTF">2021-11-24T08:01:00Z</dcterms:modified>
</cp:coreProperties>
</file>